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ind w:left="0" w:right="0" w:hanging="0"/>
        <w:jc w:val="center"/>
        <w:rPr/>
      </w:pPr>
      <w:r>
        <w:rPr/>
        <w:t>КОМИТЕТ ЖИЛИЩНО-КОММУНАЛЬНОГО ХОЗЯЙСТВА И ТЭК</w:t>
      </w:r>
    </w:p>
    <w:p>
      <w:pPr>
        <w:pStyle w:val="ConsPlusTitle"/>
        <w:ind w:left="0" w:right="0" w:hanging="0"/>
        <w:jc w:val="center"/>
        <w:rPr/>
      </w:pPr>
      <w:r>
        <w:rPr/>
        <w:t>КУРСКОЙ ОБЛАСТИ</w:t>
      </w:r>
    </w:p>
    <w:p>
      <w:pPr>
        <w:pStyle w:val="ConsPlusTitle"/>
        <w:ind w:left="0" w:right="0" w:hanging="0"/>
        <w:jc w:val="center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ПРИКАЗ</w:t>
      </w:r>
    </w:p>
    <w:p>
      <w:pPr>
        <w:pStyle w:val="ConsPlusTitle"/>
        <w:ind w:left="0" w:right="0" w:hanging="0"/>
        <w:jc w:val="center"/>
        <w:rPr/>
      </w:pPr>
      <w:r>
        <w:rPr/>
        <w:t>от 28 декабря 2021 г. N 233</w:t>
      </w:r>
    </w:p>
    <w:p>
      <w:pPr>
        <w:pStyle w:val="ConsPlusTitle"/>
        <w:ind w:left="0" w:right="0" w:hanging="0"/>
        <w:jc w:val="center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r>
        <w:rPr/>
        <w:t>ОБ УТВЕРЖДЕНИИ НОРМАТИВОВ НАКОПЛЕНИЯ</w:t>
      </w:r>
    </w:p>
    <w:p>
      <w:pPr>
        <w:pStyle w:val="ConsPlusTitle"/>
        <w:ind w:left="0" w:right="0" w:hanging="0"/>
        <w:jc w:val="center"/>
        <w:rPr/>
      </w:pPr>
      <w:r>
        <w:rPr/>
        <w:t>ТВЕРДЫХ КОММУНАЛЬНЫХ ОТХОДОВ ДЛЯ КУРСКОЙ ОБЛАСТИ</w:t>
      </w:r>
    </w:p>
    <w:p>
      <w:pPr>
        <w:pStyle w:val="ConsPlusNormal"/>
        <w:ind w:left="0" w:right="0" w:hanging="0"/>
        <w:jc w:val="left"/>
        <w:rPr/>
      </w:pPr>
      <w:r>
        <w:rPr/>
      </w:r>
    </w:p>
    <w:p>
      <w:pPr>
        <w:pStyle w:val="ConsPlusNormal"/>
        <w:spacing w:before="260" w:after="0"/>
        <w:ind w:left="0" w:right="0" w:firstLine="540"/>
        <w:jc w:val="both"/>
        <w:rPr/>
      </w:pPr>
      <w:r>
        <w:rPr/>
        <w:t xml:space="preserve">В соответствии с Федеральным </w:t>
      </w:r>
      <w:hyperlink r:id="rId2" w:tgtFrame="Федеральный закон от 24.06.1998 N 89-ФЗ (ред. от 02.07.2021) \&quot;Об отходах производства и потребления\&quot;{КонсультантПлюс}">
        <w:r>
          <w:rPr>
            <w:color w:val="0000FF"/>
          </w:rPr>
          <w:t>законом</w:t>
        </w:r>
      </w:hyperlink>
      <w:r>
        <w:rPr/>
        <w:t xml:space="preserve"> от 24 июня 1998 года N 89-ФЗ "Об отходах производства и потребления", </w:t>
      </w:r>
      <w:hyperlink r:id="rId3" w:tgtFrame="Постановление Правительства РФ от 04.04.2016 N 269 (ред. от 15.09.2018) \&quot;Об определении нормативов накопления твердых коммунальных отходов\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4 апреля 2016 года N 269 "Об утверждении Правил определения нормативов накопления твердых коммунальных отходов", </w:t>
      </w:r>
      <w:hyperlink r:id="rId4" w:tgtFrame="Приказ Минстроя России от 28.07.2016 N 524/пр \&quot;Об утверждении Методических рекомендаций по вопросам, связанным с определением нормативов накопления твердых коммунальных отходов\&quot;{КонсультантПлюс}">
        <w:r>
          <w:rPr>
            <w:color w:val="0000FF"/>
          </w:rPr>
          <w:t>приказом</w:t>
        </w:r>
      </w:hyperlink>
      <w:r>
        <w:rPr/>
        <w:t xml:space="preserve"> Минстроя Российской Федерации от 28 июня 2016 года N 524/пр "Об утверждении методических рекомендаций по вопросам, связанным с определением нормативов накопления твердых коммунальных отходов", на основании экспертных заключений по результатам повторных натуральных замеров накопления твердых коммунальных отходов для физических лиц и предприятий торговли, проведенных в 2019 году, а также повторных натуральных замеров накопления твердых коммунальных расходов для юридических лиц, проведенных в 2021 году, приказываю: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 xml:space="preserve">1. Утвердить </w:t>
      </w:r>
      <w:hyperlink w:anchor="Par32" w:tgtFrame="НОРМАТИВЫ">
        <w:r>
          <w:rPr>
            <w:color w:val="0000FF"/>
          </w:rPr>
          <w:t>нормативы</w:t>
        </w:r>
      </w:hyperlink>
      <w:r>
        <w:rPr/>
        <w:t xml:space="preserve"> накопления твердых коммунальных отходов для Курской области согласно приложению к настоящему приказу.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 xml:space="preserve">2. Признать утратившим силу </w:t>
      </w:r>
      <w:hyperlink r:id="rId5" w:tgtFrame="Приказ комитета жилищно-коммунального хозяйства и ТЭК Курской области от 06.12.2016 N 146 (ред. от 19.11.2020) \&quot;Об утверждении нормативов накопления твердых коммунальных отходов для Курской области\&quot;------------ Утратил силу или отменен{КонсультантПлюс}">
        <w:r>
          <w:rPr>
            <w:color w:val="0000FF"/>
          </w:rPr>
          <w:t>приказ</w:t>
        </w:r>
      </w:hyperlink>
      <w:r>
        <w:rPr/>
        <w:t xml:space="preserve"> комитета жилищно-коммунального хозяйства и ТЭК Курской области от 06.12.2016 (ред. от 07.06.2018, от 15.08.2018, от 18.11.2019, от 24.12.2019, от 12.05.2020, от 19.11.2020) N 146 "Об утверждении нормативов накопления твердых коммунальных отходов для Курской области".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3. Начальнику отдела регулирования системы твердых коммунальных отходов (И.В. Лях) обеспечить опубликование настоящего приказа на официальном сайте Администрации Курской области в информационно-телекоммуникационной сети "Интернет" в установленные сроки.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4. Контроль за исполнением настоящего приказа оставляю за собой.</w:t>
      </w:r>
    </w:p>
    <w:p>
      <w:pPr>
        <w:pStyle w:val="ConsPlusNormal"/>
        <w:spacing w:before="200" w:after="0"/>
        <w:ind w:left="0" w:right="0" w:firstLine="540"/>
        <w:jc w:val="both"/>
        <w:rPr/>
      </w:pPr>
      <w:r>
        <w:rPr/>
        <w:t>5. Настоящий приказ вступает в силу через 10 дней после дня его официального опубликования.</w:t>
      </w:r>
    </w:p>
    <w:p>
      <w:pPr>
        <w:pStyle w:val="ConsPlusNormal"/>
        <w:ind w:left="0" w:right="0" w:hanging="0"/>
        <w:jc w:val="left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Председатель комитета</w:t>
      </w:r>
    </w:p>
    <w:p>
      <w:pPr>
        <w:pStyle w:val="ConsPlusNormal"/>
        <w:ind w:left="0" w:right="0" w:hanging="0"/>
        <w:jc w:val="right"/>
        <w:rPr/>
      </w:pPr>
      <w:r>
        <w:rPr/>
        <w:t>А.В.МУЛЕВИН</w:t>
      </w:r>
    </w:p>
    <w:p>
      <w:pPr>
        <w:pStyle w:val="ConsPlusNormal"/>
        <w:ind w:left="0" w:right="0" w:hanging="0"/>
        <w:jc w:val="left"/>
        <w:rPr/>
      </w:pPr>
      <w:r>
        <w:rPr/>
      </w:r>
    </w:p>
    <w:p>
      <w:pPr>
        <w:pStyle w:val="ConsPlusNormal"/>
        <w:ind w:left="0" w:right="0" w:hanging="0"/>
        <w:jc w:val="left"/>
        <w:rPr/>
      </w:pPr>
      <w:r>
        <w:rPr/>
      </w:r>
    </w:p>
    <w:p>
      <w:pPr>
        <w:pStyle w:val="ConsPlusNormal"/>
        <w:ind w:left="0" w:right="0" w:hanging="0"/>
        <w:jc w:val="left"/>
        <w:rPr/>
      </w:pPr>
      <w:r>
        <w:rPr/>
      </w:r>
    </w:p>
    <w:p>
      <w:pPr>
        <w:pStyle w:val="ConsPlusNormal"/>
        <w:ind w:left="0" w:right="0" w:hanging="0"/>
        <w:jc w:val="left"/>
        <w:rPr/>
      </w:pPr>
      <w:r>
        <w:rPr/>
      </w:r>
    </w:p>
    <w:p>
      <w:pPr>
        <w:pStyle w:val="ConsPlusNormal"/>
        <w:ind w:left="0" w:right="0" w:hanging="0"/>
        <w:jc w:val="left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Приложение N 1</w:t>
      </w:r>
    </w:p>
    <w:p>
      <w:pPr>
        <w:pStyle w:val="ConsPlusNormal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ind w:left="0" w:right="0" w:hanging="0"/>
        <w:jc w:val="right"/>
        <w:rPr/>
      </w:pPr>
      <w:r>
        <w:rPr/>
        <w:t>комитета жилищно-коммунального хозяйства</w:t>
      </w:r>
    </w:p>
    <w:p>
      <w:pPr>
        <w:pStyle w:val="ConsPlusNormal"/>
        <w:ind w:left="0" w:right="0" w:hanging="0"/>
        <w:jc w:val="right"/>
        <w:rPr/>
      </w:pPr>
      <w:r>
        <w:rPr/>
        <w:t>и ТЭК Курской области</w:t>
      </w:r>
    </w:p>
    <w:p>
      <w:pPr>
        <w:pStyle w:val="ConsPlusNormal"/>
        <w:ind w:left="0" w:right="0" w:hanging="0"/>
        <w:jc w:val="right"/>
        <w:rPr/>
      </w:pPr>
      <w:r>
        <w:rPr/>
        <w:t>от 28 декабря 2021 г. N 233</w:t>
      </w:r>
    </w:p>
    <w:p>
      <w:pPr>
        <w:pStyle w:val="ConsPlusNormal"/>
        <w:ind w:left="0" w:right="0" w:hanging="0"/>
        <w:jc w:val="left"/>
        <w:rPr/>
      </w:pPr>
      <w:r>
        <w:rPr/>
      </w:r>
    </w:p>
    <w:p>
      <w:pPr>
        <w:pStyle w:val="ConsPlusTitle"/>
        <w:ind w:left="0" w:right="0" w:hanging="0"/>
        <w:jc w:val="center"/>
        <w:rPr/>
      </w:pPr>
      <w:bookmarkStart w:id="0" w:name="Par32"/>
      <w:bookmarkEnd w:id="0"/>
      <w:r>
        <w:rPr/>
        <w:t>НОРМАТИВЫ</w:t>
      </w:r>
    </w:p>
    <w:p>
      <w:pPr>
        <w:pStyle w:val="ConsPlusTitle"/>
        <w:ind w:left="0" w:right="0" w:hanging="0"/>
        <w:jc w:val="center"/>
        <w:rPr/>
      </w:pPr>
      <w:r>
        <w:rPr/>
        <w:t>НАКОПЛЕНИЯ ТВЕРДЫХ КОММУНАЛЬНЫХ ОТХОДОВ (ТКО)</w:t>
      </w:r>
    </w:p>
    <w:p>
      <w:pPr>
        <w:pStyle w:val="ConsPlusTitle"/>
        <w:ind w:left="0" w:right="0" w:hanging="0"/>
        <w:jc w:val="center"/>
        <w:rPr/>
      </w:pPr>
      <w:r>
        <w:rPr/>
        <w:t>ДЛЯ КУРСКОЙ ОБЛАСТИ</w:t>
      </w:r>
    </w:p>
    <w:p>
      <w:pPr>
        <w:pStyle w:val="ConsPlusNormal"/>
        <w:ind w:left="0" w:right="0" w:hanging="0"/>
        <w:jc w:val="left"/>
        <w:rPr/>
      </w:pPr>
      <w:r>
        <w:rPr/>
      </w:r>
    </w:p>
    <w:tbl>
      <w:tblPr>
        <w:tblW w:w="8168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231"/>
        <w:gridCol w:w="1941"/>
        <w:gridCol w:w="1270"/>
        <w:gridCol w:w="1102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N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Категории объекта образования отходов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Расчетная единица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Норматив накопления ТКО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кг/год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м3/год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Организации торговли: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Продовольственный магазин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18,98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0,17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Магазин промышленных товаров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3,76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0,05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1.3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Гипермаркет, торговый комплекс, супермаркет (универмаг), прочие торговые объекты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3,71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0,04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1.4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Павильон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39,33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0,31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1.5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Палатка, киоск (газетный, сувенирный и т.д.)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0,036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1.6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Рынок, ярмарка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м2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11,76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1,03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Предприятия и организации транспортной инфраструктуры: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Автомастерские, станции технического обслуживания, шиномонтажные мастерские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машино/место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486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2,72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Автозаправочные станции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машино/место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476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5,85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2.3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Автостоянки, парковки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машино/место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31,1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0,59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2.4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Гаражи, гаражные кооперативы, паркинги закрытого типа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76,1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2.5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Автомойки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рабочее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796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9,16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2.6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Железнодорожные и автовокзалы, аэропорты, речные и морские порты и вокзалы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пассажир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12,9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0,15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Дошкольные и учебные заведения: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Дошкольные образовательные учреждения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ребенок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33,4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0,54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Общеобразовательные учреждения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учащийся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58,6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0,41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3.3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Детские дома и интернаты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73,3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0,62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3.4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Учреждения начального и среднего профессионального образования, высшего профессионального и послевузовского образования или иные учреждения, осуществляющие образовательный процесс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учащийся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39,7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0,37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Предприятия службы быта: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Парикмахерские, косметические салоны, салоны красоты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251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1,74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Гостиницы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142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1,15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4.3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Общежития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1,19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4.4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Химчистки и прачечные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0,05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4.5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Бани, сауны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0,73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4.6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Организация, осуществляющая деятельность по ремонту бытовой, радио- или компьютерной техники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57,7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0,17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4.7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Организация, осуществляющая деятельность по пошиву и/или ремонту одежды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31,8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0,31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4.8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Мастерские по ремонту часов, очков, ключей, обуви и пр.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94,8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0,81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Предприятия отраслей промышленности: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5.1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Промышленные предприятия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сотрудник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477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3,22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Культурно-развлекательные, спортивные учреждения: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6.1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Клубы, кинотеатры, концертные залы, театры, цирки, зоопарки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0,15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6.2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Библиотеки, архивы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25,87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0,2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6.3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Дома отдыха, пансионаты, туристические базы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50,5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1,43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6.4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Выставочные залы, музеи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</w:t>
            </w:r>
            <w:r>
              <w:rPr>
                <w:vertAlign w:val="superscript"/>
              </w:rPr>
              <w:t>2</w:t>
            </w:r>
            <w:r>
              <w:rPr/>
              <w:t xml:space="preserve"> общей площади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3,37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0,04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6.5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Спортивные арены, стадионы, спортивные клубы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10,2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0,18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Предприятия общественного питания (кафе, рестораны, бары, закусочные, столовые):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7.1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Предприятия общепита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198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2,56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8.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Административные здания, учреждения, офисы: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8.1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Административные и офисные учреждения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сотрудник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149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1,66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8.2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Научно-исследовательские, проектные институты, конструкторские и дизайнерские бюро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сотрудник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27,7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0,56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8.3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Кредитно-финансовые организации (банки, офисы кредитования и т.д.)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сотрудник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78,1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1,11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8.4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Отделения связи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сотрудник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0,82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9.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Предприятия в сфере похоронных услуг: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9.1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Кладбище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0,07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0,02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9.2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Организации, оказывающие ритуальные услуги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рабочее место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20,6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0,08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10.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Иные организации: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10.1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Садоводческие кооперативы, садово-огородные товарищества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участок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134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1,08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10.2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Храмы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сотрудник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26,4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0,3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11.</w:t>
            </w:r>
          </w:p>
        </w:tc>
        <w:tc>
          <w:tcPr>
            <w:tcW w:w="7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Домовладения: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11.1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Многоквартирные дома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человек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275,61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1,93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11.2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left"/>
              <w:rPr>
                <w:b w:val="false"/>
                <w:b w:val="false"/>
              </w:rPr>
            </w:pPr>
            <w:r>
              <w:rPr/>
              <w:t>Индивидуальные жилые дома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 человек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234,271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b w:val="false"/>
                <w:b w:val="false"/>
              </w:rPr>
            </w:pPr>
            <w:r>
              <w:rPr/>
              <w:t>1,97</w:t>
            </w:r>
          </w:p>
        </w:tc>
      </w:tr>
    </w:tbl>
    <w:p>
      <w:pPr>
        <w:pStyle w:val="ConsPlusNormal"/>
        <w:widowControl w:val="false"/>
        <w:ind w:left="0" w:right="0" w:hanging="0"/>
        <w:jc w:val="left"/>
        <w:rPr/>
      </w:pPr>
      <w:r>
        <w:rPr/>
      </w:r>
    </w:p>
    <w:p>
      <w:pPr>
        <w:pStyle w:val="ConsPlusNormal"/>
        <w:ind w:left="0" w:right="0" w:hanging="0"/>
        <w:jc w:val="left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595" w:right="595" w:header="0" w:top="841" w:footer="0" w:bottom="84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0" w:cs="Arial"/>
      <w:color w:val="auto"/>
      <w:kern w:val="2"/>
      <w:sz w:val="28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eastAsia="Microsoft YaHei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>
      <w:spacing w:lineRule="auto" w:line="276" w:before="0" w:after="140"/>
    </w:pPr>
    <w:rPr/>
  </w:style>
  <w:style w:type="paragraph" w:styleId="Style18">
    <w:name w:val="Caption"/>
    <w:basedOn w:val="Normal"/>
    <w:qFormat/>
    <w:pPr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suppressAutoHyphens w:val="tru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suppressAutoHyphens w:val="tru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suppressAutoHyphens w:val="tru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suppressAutoHyphens w:val="tru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14719A95151629F5225024CD5482AA4787664EE9B087B33A264E1B4D5D7CA8609E063A7EAA39695482D8615C2FF45787C1AEB2FBG130G" TargetMode="External"/><Relationship Id="rId3" Type="http://schemas.openxmlformats.org/officeDocument/2006/relationships/hyperlink" Target="./&#1086;&#1090;&#1093;&#1086;&#1076;&#1086;&#1074;/%22)%7B&#1050;&#1086;&#1085;&#1089;&#1091;&#1083;&#1100;&#1090;&#1072;&#1085;&#1090;&#1055;&#1083;&#1102;&#1089;%7D" TargetMode="External"/><Relationship Id="rId4" Type="http://schemas.openxmlformats.org/officeDocument/2006/relationships/hyperlink" Target="consultantplus://offline/ref=9B14719A95151629F5225024CD5482AA468F6C4FEFB487B33A264E1B4D5D7CA8729E5E3379A82C3D04D88F6C5CG238G" TargetMode="External"/><Relationship Id="rId5" Type="http://schemas.openxmlformats.org/officeDocument/2006/relationships/hyperlink" Target="consultantplus://offline/ref=B126E69CD80EDC7C610FE9B88BBB10E0929A7794C98EF56A1C8B20ECD145EF3DC43A23CCD2C7FCE3C7FE352BE8196926H23E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16</Pages>
  <Words>733</Words>
  <Characters>4637</Characters>
  <CharactersWithSpaces>5110</CharactersWithSpaces>
  <Paragraphs>260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2022-01-25T09:55:00Z</dcterms:created>
  <dc:creator/>
  <dc:description/>
  <dc:language>ru-RU</dc:language>
  <cp:lastModifiedBy/>
  <dcterms:modified xsi:type="dcterms:W3CDTF">2022-01-28T10:14:00Z</dcterms:modified>
  <cp:revision>0</cp:revision>
  <dc:subject/>
  <dc:title>Приказ комитета жилищно-коммунального хозяйства и ТЭК Курской области от 28.12.2021 N 233"Об утверждении нормативов накопления твердых коммунальных отходов для Курской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