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910" w:leader="none"/>
        </w:tabs>
        <w:jc w:val="center"/>
        <w:rPr>
          <w:rFonts w:cs="Arial Unicode MS"/>
          <w:lang w:eastAsia="ru-RU"/>
        </w:rPr>
      </w:pPr>
      <w:r>
        <w:rPr/>
        <w:drawing>
          <wp:inline distT="0" distB="0" distL="0" distR="0">
            <wp:extent cx="694055" cy="75374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8910" w:leader="none"/>
        </w:tabs>
        <w:rPr>
          <w:rFonts w:cs="Arial Unicode MS"/>
          <w:lang w:eastAsia="ru-RU"/>
        </w:rPr>
      </w:pPr>
      <w:r>
        <w:rPr>
          <w:rFonts w:cs="Arial Unicode MS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cs="Arial Unicode MS"/>
          <w:sz w:val="36"/>
          <w:lang w:eastAsia="ru-RU"/>
        </w:rPr>
      </w:pPr>
      <w:r>
        <w:rPr>
          <w:rFonts w:cs="Arial Unicode MS"/>
          <w:sz w:val="36"/>
          <w:lang w:eastAsia="ru-RU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rFonts w:cs="Arial Unicode MS"/>
          <w:sz w:val="40"/>
          <w:lang w:eastAsia="ru-RU"/>
        </w:rPr>
      </w:pPr>
      <w:r>
        <w:rPr>
          <w:rFonts w:cs="Arial Unicode MS"/>
          <w:sz w:val="40"/>
          <w:lang w:eastAsia="ru-RU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cs="Arial Unicode MS"/>
          <w:b/>
          <w:b/>
          <w:spacing w:val="80"/>
          <w:sz w:val="40"/>
          <w:lang w:eastAsia="ru-RU"/>
        </w:rPr>
      </w:pPr>
      <w:r>
        <w:rPr>
          <w:rFonts w:cs="Arial Unicode MS"/>
          <w:b/>
          <w:spacing w:val="80"/>
          <w:sz w:val="40"/>
          <w:lang w:eastAsia="ru-RU"/>
        </w:rPr>
        <w:t>ПОСТАНОВЛЕНИЕ</w:t>
      </w:r>
    </w:p>
    <w:p>
      <w:pPr>
        <w:pStyle w:val="Normal"/>
        <w:jc w:val="center"/>
        <w:rPr>
          <w:rFonts w:cs="Arial Unicode MS"/>
          <w:sz w:val="22"/>
          <w:szCs w:val="12"/>
          <w:lang w:eastAsia="ru-RU"/>
        </w:rPr>
      </w:pPr>
      <w:r>
        <w:rPr>
          <w:rFonts w:cs="Arial Unicode MS"/>
          <w:sz w:val="22"/>
          <w:szCs w:val="12"/>
          <w:lang w:eastAsia="ru-RU"/>
        </w:rPr>
      </w:r>
    </w:p>
    <w:p>
      <w:pPr>
        <w:pStyle w:val="Normal"/>
        <w:rPr>
          <w:rFonts w:cs="Arial Unicode MS"/>
          <w:sz w:val="28"/>
          <w:szCs w:val="28"/>
          <w:lang w:val="en-US" w:eastAsia="ru-RU"/>
        </w:rPr>
      </w:pPr>
      <w:r>
        <w:rPr>
          <w:rFonts w:cs="Arial Unicode MS"/>
          <w:sz w:val="28"/>
          <w:szCs w:val="28"/>
          <w:lang w:eastAsia="ru-RU"/>
        </w:rPr>
        <w:t xml:space="preserve">«24» января  2022г.            </w:t>
        <w:tab/>
        <w:tab/>
        <w:t xml:space="preserve">                                                      № 2</w:t>
      </w:r>
      <w:r>
        <w:rPr>
          <w:rFonts w:cs="Arial Unicode MS"/>
          <w:sz w:val="28"/>
          <w:szCs w:val="28"/>
          <w:lang w:val="en-US" w:eastAsia="ru-RU"/>
        </w:rPr>
        <w:t>3</w:t>
      </w:r>
    </w:p>
    <w:p>
      <w:pPr>
        <w:pStyle w:val="Normal"/>
        <w:ind w:firstLine="72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20"/>
        <w:jc w:val="center"/>
        <w:rPr>
          <w:b/>
          <w:b/>
          <w:sz w:val="28"/>
        </w:rPr>
      </w:pPr>
      <w:r>
        <w:rPr>
          <w:b/>
          <w:sz w:val="28"/>
        </w:rPr>
        <w:t>О реализации на территории города Курска государственной программы Курской области «Оказание содействия добровольному переселению в Курскую область соотечественников, проживающих</w:t>
        <w:br/>
        <w:t xml:space="preserve"> за рубежом»</w:t>
      </w:r>
      <w:bookmarkStart w:id="0" w:name="_Hlk70436042"/>
      <w:bookmarkStart w:id="1" w:name="_Hlk70492783"/>
      <w:bookmarkEnd w:id="0"/>
      <w:bookmarkEnd w:id="1"/>
    </w:p>
    <w:p>
      <w:pPr>
        <w:pStyle w:val="Normal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Администрации Курской области </w:t>
        <w:br/>
        <w:t xml:space="preserve">от 24.12.2021 № 1444-па «Об утверждении государственной программы Курской области «Оказание содействия добровольному переселению </w:t>
        <w:br/>
        <w:t xml:space="preserve">в Курскую область соотечественников, проживающих за рубежом» </w:t>
        <w:br/>
        <w:t>(далее - Государственная программа), ПОСТАНОВЛЯЮ: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органом Администрации города Курска, уполномоченным на осуществление координации действий территориальных и отраслевых органов Администрации города Курска по реализации Государственной программы, является комитет экономического развития Администрации города Курска.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реализации Государственной программы </w:t>
        <w:br/>
        <w:t>на территории города Курска согласно приложению 1 к настоящему постановлению.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Межведомственную комиссию по вопросам реализации </w:t>
        <w:br/>
        <w:t xml:space="preserve">на территории города Курска Государственной программы (далее - Комиссия), утвердить Положение о Комиссии и ее состав согласно приложениям </w:t>
        <w:br/>
        <w:t>2 и 3 к настоящему постановлению.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4. Признать утратившими силу постановления Администрации города Курска от 30.05.2014 № 1945 «О мерах по реализации на территории города Курска программы Курской области по оказанию содействия добровольному переселению в Российскую Федерацию соотечественников, проживающих            за рубежом, на 2013-2021 годы» (в ред. от 16.04.2018 № 804, от 18.09.2020      </w:t>
        <w:br/>
        <w:t>№ 1736, от 19.11.2020 № 2116, от 31.05.2021 № 331, от 28.07.2021 № 442,                    от 29.11.2021 № 728).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Управлению информации и печати Администрации города Курска (Комкова Т.В.) обеспечить опубликование настоящего постановления </w:t>
        <w:br/>
        <w:t>в газете «Городские известия».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Контроль за исполнением настоящего постановления оставляю</w:t>
        <w:br/>
        <w:t>за собой.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официального опубликования.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Главы города Курска</w:t>
        <w:tab/>
        <w:tab/>
        <w:tab/>
        <w:tab/>
        <w:tab/>
        <w:tab/>
        <w:t xml:space="preserve">               Н. Цыбин</w:t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ПРИЛОЖЕНИЕ 1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постановлением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Администрации города Курска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>» января 2022 года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№</w:t>
      </w:r>
      <w:r>
        <w:rPr>
          <w:sz w:val="28"/>
          <w:szCs w:val="28"/>
        </w:rPr>
        <w:t>23</w:t>
      </w:r>
    </w:p>
    <w:p>
      <w:pPr>
        <w:pStyle w:val="Normal"/>
        <w:numPr>
          <w:ilvl w:val="0"/>
          <w:numId w:val="0"/>
        </w:numPr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на территории города Курска</w:t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государственной программы Курской области </w:t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«Оказание содействия добровольному переселению </w:t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Курскую область соотечественников, проживающих за рубежом»</w:t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outlineLvl w:val="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firstLine="720"/>
        <w:jc w:val="both"/>
        <w:outlineLvl w:val="0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1.1. Настоящий Порядок реализации на территории города Курска Государственной программы Курской области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«Оказание содействия добровольному переселению в Курскую область соотечественников, проживающих за рубежом»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(далее - Порядок), определяет правила действий территориальных и отраслевых органов Администрации города Курска                   по реализации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рубежом» (далее – Государственная программа).</w:t>
      </w:r>
    </w:p>
    <w:p>
      <w:pPr>
        <w:pStyle w:val="ConsPlusTitle"/>
        <w:widowControl/>
        <w:numPr>
          <w:ilvl w:val="0"/>
          <w:numId w:val="0"/>
        </w:numPr>
        <w:ind w:firstLine="720"/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1.2. Используемые в настоящем Порядке понятия «соотечественник», «участник Государственной программы», «члены его семьи», «переселенцы» соответствуют понятиям, применяемым в действующем законодательстве.</w:t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>
        <w:rPr>
          <w:b/>
          <w:bCs/>
          <w:sz w:val="28"/>
          <w:szCs w:val="28"/>
          <w:lang w:eastAsia="ru-RU"/>
        </w:rPr>
        <w:t>. Полномочия территориальных и отраслевых органов Администрации города Курска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938" w:leader="none"/>
          <w:tab w:val="left" w:pos="808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Комитет экономического развития Администрации города Курска (далее – Уполномоченный орган) в целях реализации Государственной программы рассматривает заявление об участии соотечественников,</w:t>
        <w:br/>
        <w:t>в Государственной программе и принимает решение о согласовании (несогласовании) участия соотечественника в Государственной программе.</w:t>
      </w:r>
    </w:p>
    <w:p>
      <w:pPr>
        <w:pStyle w:val="Normal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>
        <w:rPr>
          <w:sz w:val="28"/>
          <w:szCs w:val="28"/>
        </w:rPr>
        <w:t>Уполномоченный орган</w:t>
      </w:r>
      <w:r>
        <w:rPr>
          <w:sz w:val="28"/>
          <w:szCs w:val="28"/>
          <w:lang w:eastAsia="ru-RU"/>
        </w:rPr>
        <w:t>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>
        <w:rPr>
          <w:rFonts w:eastAsia="Calibri"/>
          <w:sz w:val="28"/>
          <w:szCs w:val="28"/>
          <w:lang w:eastAsia="ru-RU"/>
        </w:rPr>
        <w:t>информирует прибывших соотечественников о вариантах временного размещения, путем размещения информации на сайте Администрации города Курска;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подготавливает отчет о прибывших переселенцах, включая сведения </w:t>
        <w:br/>
        <w:t xml:space="preserve">с ежемесячным направлением в установленные сроки и по установленной форме в комитет по труду и занятости населения Курской области </w:t>
        <w:br/>
        <w:t>по электронной почте: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информации о прибывших переселенцах, их обустройстве </w:t>
        <w:br/>
        <w:t>и трудоустройстве;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решения принятые Уполномоченным органом;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сведения о вакансиях и работодателях, изъявивших желание принять участие в программе, для формирования банка вакансий;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сведения о наличии жилья для временного размещения переселенцев или продаже жилья для включения в банк жилья для соотечественников;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отчет о прибывших участниках Государственной программы, включая сведения об их обустройстве и трудоустройстве;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ежегодно (или по запросу):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информацию о ходе реализации программы и о работе</w:t>
        <w:br/>
        <w:t>по информационному обеспечению реализации программы.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Уполномоченный орган рассматривает заявления соотечественников на предмет соответствия соотечественников требованиям Государственной программы.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 участию в Государственной программе допускаются соотечественники, достигшие 18 лет, обладающие дееспособностью </w:t>
        <w:br/>
        <w:t>и соответствующие требованиям, установленным Государственной программой, а также: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имеющие образование не ниже среднего профессионального</w:t>
        <w:br/>
        <w:t xml:space="preserve"> (в данном случае не применяются требования к соотечественникам, предусмотренные пунктами 2, 4, 5);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2) обучающиеся в профессиональных образовательных организациях </w:t>
        <w:br/>
        <w:t xml:space="preserve">и образовательных организациях высшего образования, расположенных </w:t>
        <w:br/>
        <w:t xml:space="preserve">на территории Курской области, в случае отсутствия соответствующего образования (в данном случае не применяются требования </w:t>
        <w:br/>
        <w:t>к соотечественникам, предусмотренные пунктами 1, 3 - 5);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имеющие опыт работы не менее 3 месяцев и квалификацию, соответствующую требованиям по вакансиям, востребованным на рынке труда на территории планируемого вселения (в данном случае не применяются требования к соотечественникам, предусмотренные пунктами 2, 4, 5);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4) осуществляющие предпринимательскую или иную не запрещенную законодательством Российской Федерации деятельность на территории Курской области, желательно в приоритетных сферах развития малого </w:t>
        <w:br/>
        <w:t xml:space="preserve">и среднего предпринимательства, не менее 1 года на дату подачи заявления </w:t>
        <w:br/>
        <w:t>об участии в Государственной программе (в данном случае не применяются требования к соотечественникам, предусмотренные пунктами 1 - 3, 5);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временно или постоянно проживающие на территории Курской области, осуществляющие трудовую деятельность не менее 1 года. </w:t>
        <w:br/>
        <w:t xml:space="preserve">          В первоочередном порядке рассматриваются заявления соотечественников, предоставивших для подтверждения трудовой деятельности следующие документы: справки о доходах физического лица </w:t>
        <w:br/>
        <w:t>по форме 2-НДФЛ; заверенные налоговым органом Курской области реестры сведений о доходах физических лиц (предоставляется за истекший налоговый период, с учетом сроков, установленных налоговым законодательством Российской Федерации); регистры налогового учета по НДФЛ (в данном случае не применяются требования к соотечественникам, предусмотренные пунктами 1 - 4).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При согласовании кандидатур соотечественников также учитываются: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профессиональные навыки/квалификация и востребованность на рынке труда;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заинтересованность работодателя в приеме соотечественников, достигших пенсионного возраста, обладающих востребованными специальностями или высокими профессиональными навыками;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наличие близких родственников, проживающих на территории вселения, имеющих гражданство Российской Федерации и готовых оказать содействие в их жилищном обустройстве.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Уполномоченный орган принимает решение: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согласовании участия соотечественников в Государственной программе в соответствии с требованиями, предусмотренными Государственной программой;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несогласовании участия соотечественников в Государственной программе, не отвечающих требованиям, установленных Государственной программой;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подготавливает предложения по рассмотрению </w:t>
        <w:br/>
        <w:t xml:space="preserve">на Межведомственной комиссии города Курска </w:t>
      </w:r>
      <w:r>
        <w:rPr>
          <w:rFonts w:eastAsia="Calibri"/>
          <w:bCs/>
          <w:sz w:val="28"/>
          <w:szCs w:val="28"/>
        </w:rPr>
        <w:t xml:space="preserve">по вопросам реализации </w:t>
        <w:br/>
        <w:t xml:space="preserve">на территории города Курска </w:t>
      </w:r>
      <w:r>
        <w:rPr>
          <w:bCs/>
          <w:sz w:val="28"/>
          <w:szCs w:val="28"/>
        </w:rPr>
        <w:t>Государственной программы.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Решения, принятые Уполномоченным органом о согласовании (несогласовании) направляются в электронном виде в уполномоченный орган Курской области – комитет по труду и занятости Курской области.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Территориальные органы Администрации города Курска (администрации Центрального, Сеймского и Железнодорожного округов города Курска) обеспечивают участников </w:t>
      </w:r>
      <w:r>
        <w:rPr>
          <w:sz w:val="28"/>
          <w:szCs w:val="28"/>
        </w:rPr>
        <w:t>Государственной программы</w:t>
      </w:r>
      <w:r>
        <w:rPr>
          <w:sz w:val="28"/>
          <w:szCs w:val="28"/>
          <w:lang w:eastAsia="ru-RU"/>
        </w:rPr>
        <w:t xml:space="preserve"> необходимыми справочными материалами о территории вселения и перечнем контактных лиц Комитета, Центра занятости, комитета социальной защиты населения города Курска.</w:t>
      </w:r>
    </w:p>
    <w:p>
      <w:pPr>
        <w:pStyle w:val="Normal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МКУ «Городской жилищный фонд» предоставляет информацию </w:t>
        <w:br/>
        <w:t>о риэлторских компаниях и возможности участия в ипотечном жилищном кредитовании.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Комитет образования города Курска организует предоставление детям участников Государственной программы общедоступного общего образования, дошкольного образования, дополнительного образования </w:t>
        <w:br/>
        <w:t>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Комитет социальной защиты населения города Курска: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осуществляет постановку на учет членов семьи участника </w:t>
      </w:r>
      <w:r>
        <w:rPr>
          <w:sz w:val="28"/>
          <w:szCs w:val="28"/>
        </w:rPr>
        <w:t>Государственной программы</w:t>
      </w:r>
      <w:r>
        <w:rPr>
          <w:sz w:val="28"/>
          <w:szCs w:val="28"/>
          <w:lang w:eastAsia="ru-RU"/>
        </w:rPr>
        <w:t xml:space="preserve">, нуждающихся в оказании мер социальной поддержки в соответствии с законодательством Российской Федерации </w:t>
        <w:br/>
        <w:t xml:space="preserve">и Курской области, оказывает содействие в предоставлении мер социальной поддержки участнику </w:t>
      </w:r>
      <w:r>
        <w:rPr>
          <w:sz w:val="28"/>
          <w:szCs w:val="28"/>
        </w:rPr>
        <w:t>Государственной программы</w:t>
      </w:r>
      <w:r>
        <w:rPr>
          <w:sz w:val="28"/>
          <w:szCs w:val="28"/>
          <w:lang w:eastAsia="ru-RU"/>
        </w:rPr>
        <w:t xml:space="preserve"> и членам его семьи;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оказывает содействие в оформлении документов, необходимых для направления в стационарные учреждения социального обеспечения лиц пожилого возраста и инвалидов, и направление соответствующей информации в комитет социального обеспечения Курской области.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</w:rPr>
        <w:t>Уполномоченный орган</w:t>
      </w:r>
      <w:r>
        <w:rPr>
          <w:sz w:val="28"/>
          <w:szCs w:val="28"/>
          <w:lang w:eastAsia="ru-RU"/>
        </w:rPr>
        <w:t xml:space="preserve"> осуществляет консультирование участников </w:t>
      </w:r>
      <w:r>
        <w:rPr>
          <w:sz w:val="28"/>
          <w:szCs w:val="28"/>
        </w:rPr>
        <w:t>Государственной программы</w:t>
      </w:r>
      <w:r>
        <w:rPr>
          <w:sz w:val="28"/>
          <w:szCs w:val="28"/>
          <w:lang w:eastAsia="ru-RU"/>
        </w:rPr>
        <w:t xml:space="preserve"> о возможности участия в программах развития малого предпринимательства, реализуемых на территории города Курска.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Комитет по управлению муниципальным имуществом города Курска осуществляет консультирование участников </w:t>
      </w:r>
      <w:r>
        <w:rPr>
          <w:sz w:val="28"/>
          <w:szCs w:val="28"/>
        </w:rPr>
        <w:t>Государственной программы</w:t>
      </w:r>
      <w:r>
        <w:rPr>
          <w:sz w:val="28"/>
          <w:szCs w:val="28"/>
          <w:lang w:eastAsia="ru-RU"/>
        </w:rPr>
        <w:t xml:space="preserve"> </w:t>
        <w:br/>
        <w:t>по вопросу выделения земельных участков для индивидуального жилищного строительства (при необходимости).</w:t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ПРИЛОЖЕНИЕ 2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УТВЕРЖДЕНО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постановлением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Администрации города Курска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от «24» января 2022 года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№</w:t>
      </w:r>
      <w:r>
        <w:rPr>
          <w:sz w:val="28"/>
          <w:szCs w:val="28"/>
        </w:rPr>
        <w:t>23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</w:r>
    </w:p>
    <w:p>
      <w:pPr>
        <w:pStyle w:val="Normal"/>
        <w:ind w:firstLine="720"/>
        <w:jc w:val="center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ind w:firstLine="720"/>
        <w:jc w:val="center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о межведомственной комиссии города Курска по вопросам </w:t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на территории города Курска</w:t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государственной программы Курской области </w:t>
      </w:r>
    </w:p>
    <w:p>
      <w:pPr>
        <w:pStyle w:val="ConsPlusTitle"/>
        <w:widowControl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«Оказание содействия добровольному переселению </w:t>
      </w:r>
    </w:p>
    <w:p>
      <w:pPr>
        <w:pStyle w:val="Normal"/>
        <w:ind w:firstLine="720"/>
        <w:rPr>
          <w:rFonts w:eastAsia="Calibri"/>
          <w:b/>
          <w:b/>
          <w:sz w:val="24"/>
          <w:szCs w:val="24"/>
          <w:lang w:eastAsia="ru-RU"/>
        </w:rPr>
      </w:pPr>
      <w:r>
        <w:rPr>
          <w:b/>
          <w:sz w:val="28"/>
          <w:szCs w:val="28"/>
        </w:rPr>
        <w:t>в Курскую область соотечественников, проживающих за рубежом»</w:t>
      </w:r>
    </w:p>
    <w:p>
      <w:pPr>
        <w:pStyle w:val="Normal"/>
        <w:numPr>
          <w:ilvl w:val="0"/>
          <w:numId w:val="0"/>
        </w:numPr>
        <w:ind w:firstLine="720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I. Общие положения</w:t>
      </w:r>
    </w:p>
    <w:p>
      <w:pPr>
        <w:pStyle w:val="Normal"/>
        <w:ind w:firstLine="72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ConsPlusTitle"/>
        <w:widowControl/>
        <w:numPr>
          <w:ilvl w:val="0"/>
          <w:numId w:val="0"/>
        </w:numPr>
        <w:ind w:firstLine="720"/>
        <w:jc w:val="both"/>
        <w:outlineLvl w:val="0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  <w:t xml:space="preserve">1.1. Межведомственная комиссия города Курска по вопросам реализации на территории города Курска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государственной программы Курской области «Оказание содействия добровольному переселению </w:t>
        <w:br/>
        <w:t>в Курскую область соотечественников, проживающих за рубежом»</w:t>
      </w: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  <w:t xml:space="preserve"> (далее - Комиссия), является коллегиальным совещательным органом, обеспечивающим взаимодействие правоохранительных и территориальных органов исполнительной власти, территориальных и отраслевых органов Администрации города Курска.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3">
        <w:r>
          <w:rPr>
            <w:rFonts w:eastAsia="Calibri"/>
            <w:sz w:val="28"/>
            <w:szCs w:val="28"/>
            <w:lang w:eastAsia="ru-RU"/>
          </w:rPr>
          <w:t>Конституцией</w:t>
        </w:r>
      </w:hyperlink>
      <w:r>
        <w:rPr>
          <w:rFonts w:eastAsia="Calibri"/>
          <w:sz w:val="28"/>
          <w:szCs w:val="28"/>
          <w:lang w:eastAsia="ru-RU"/>
        </w:rPr>
        <w:t xml:space="preserve"> Российской Федерации и иными нормативными правовыми актами Российской Федерации и Курской области, правовыми актами органов местного самоуправления города Курска, а также настоящим Положением.</w:t>
      </w:r>
    </w:p>
    <w:p>
      <w:pPr>
        <w:pStyle w:val="Normal"/>
        <w:ind w:firstLine="72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II. Задачи и функции Комиссии</w:t>
      </w:r>
    </w:p>
    <w:p>
      <w:pPr>
        <w:pStyle w:val="Normal"/>
        <w:ind w:firstLine="72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2.1. Основные задачи Комиссии: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2.1.1. Обеспечение согласованных действий отраслевых </w:t>
        <w:br/>
        <w:t>и территориальных органов Администрации города Курска, взаимодействия</w:t>
      </w:r>
    </w:p>
    <w:p>
      <w:pPr>
        <w:pStyle w:val="Normal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 территориальными подразделениями правоохранительных органов, органами государственной исполнительной власти Курской области, а также заинтересованными организациями по вопросам реализации на территории города Курска </w:t>
      </w:r>
      <w:r>
        <w:rPr>
          <w:bCs/>
          <w:sz w:val="28"/>
          <w:szCs w:val="28"/>
        </w:rPr>
        <w:t>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</w:t>
      </w:r>
      <w:r>
        <w:rPr>
          <w:b/>
          <w:bCs/>
          <w:sz w:val="28"/>
          <w:szCs w:val="28"/>
        </w:rPr>
        <w:t>»</w:t>
      </w:r>
      <w:r>
        <w:rPr>
          <w:rFonts w:eastAsia="Calibri"/>
          <w:sz w:val="28"/>
          <w:szCs w:val="28"/>
          <w:lang w:eastAsia="ru-RU"/>
        </w:rPr>
        <w:t xml:space="preserve"> (далее – Государственная программа).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2.1.2. Анализ хода реализации Государственной программы.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2.2. Комиссия выполняет следующие функции: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" w:name="Par21"/>
      <w:bookmarkEnd w:id="2"/>
      <w:r>
        <w:rPr>
          <w:rFonts w:eastAsia="Calibri"/>
          <w:sz w:val="28"/>
          <w:szCs w:val="28"/>
          <w:lang w:eastAsia="ru-RU"/>
        </w:rPr>
        <w:t xml:space="preserve">1) организует взаимодействие отраслевых и территориальных органов Администрации города Курска с территориальными органами государственной исполнительной власти при решении задач, связанных </w:t>
        <w:br/>
        <w:t xml:space="preserve">с реализацией </w:t>
      </w:r>
      <w:hyperlink r:id="rId4">
        <w:r>
          <w:rPr>
            <w:rFonts w:eastAsia="Calibri"/>
            <w:sz w:val="28"/>
            <w:szCs w:val="28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>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2) обсуждает ход реализации </w:t>
      </w:r>
      <w:hyperlink r:id="rId5">
        <w:r>
          <w:rPr>
            <w:rFonts w:eastAsia="Calibri"/>
            <w:sz w:val="28"/>
            <w:szCs w:val="28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>, возникающие проблемные ситуации;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3) вырабатывает согласованные действия органов, указанных в </w:t>
      </w:r>
      <w:hyperlink w:anchor="Par21">
        <w:r>
          <w:rPr>
            <w:rFonts w:eastAsia="Calibri"/>
            <w:sz w:val="28"/>
            <w:szCs w:val="28"/>
            <w:lang w:eastAsia="ru-RU"/>
          </w:rPr>
          <w:t xml:space="preserve">абзаце </w:t>
          <w:br/>
          <w:t>2</w:t>
        </w:r>
      </w:hyperlink>
      <w:r>
        <w:rPr>
          <w:rFonts w:eastAsia="Calibri"/>
          <w:sz w:val="28"/>
          <w:szCs w:val="28"/>
          <w:lang w:eastAsia="ru-RU"/>
        </w:rPr>
        <w:t xml:space="preserve"> настоящего пункта, при возникновении разногласий и проблем, требующих межведомственного взаимодействия;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4) заслушивает руководителей отраслевых и территориальных органов Администрации города Курска, осуществляющих полномочия по реализации Программы, с отчетами о ходе реализации </w:t>
      </w:r>
      <w:hyperlink r:id="rId6">
        <w:r>
          <w:rPr>
            <w:rFonts w:eastAsia="Calibri"/>
            <w:sz w:val="28"/>
            <w:szCs w:val="28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 xml:space="preserve">, отдельных работодателей по предложению Центра занятости по вопросам участия </w:t>
        <w:br/>
        <w:t xml:space="preserve">в </w:t>
      </w:r>
      <w:hyperlink r:id="rId7">
        <w:r>
          <w:rPr>
            <w:rFonts w:eastAsia="Calibri"/>
            <w:sz w:val="28"/>
            <w:szCs w:val="28"/>
            <w:lang w:eastAsia="ru-RU"/>
          </w:rPr>
          <w:t>Программе</w:t>
        </w:r>
      </w:hyperlink>
      <w:r>
        <w:rPr>
          <w:rFonts w:eastAsia="Calibri"/>
          <w:sz w:val="28"/>
          <w:szCs w:val="28"/>
          <w:lang w:eastAsia="ru-RU"/>
        </w:rPr>
        <w:t>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рассматривает: вопросы трудоустройства, жилищного обустройства, профессиональной, социально-культурной адаптации, интеграции </w:t>
        <w:br/>
        <w:t xml:space="preserve">в российское общество участников </w:t>
      </w:r>
      <w:hyperlink r:id="rId8">
        <w:r>
          <w:rPr>
            <w:rFonts w:eastAsia="Calibri"/>
            <w:sz w:val="28"/>
            <w:szCs w:val="28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>, информацию об оказании участникам Программы услуг;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6) анализирует сведения о мониторинге хода исполнения </w:t>
      </w:r>
      <w:hyperlink r:id="rId9">
        <w:r>
          <w:rPr>
            <w:rFonts w:eastAsia="Calibri"/>
            <w:sz w:val="28"/>
            <w:szCs w:val="28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 xml:space="preserve"> </w:t>
        <w:br/>
        <w:t>с выработкой соответствующих рекомендаций.</w:t>
      </w:r>
    </w:p>
    <w:p>
      <w:pPr>
        <w:pStyle w:val="Normal"/>
        <w:ind w:firstLine="72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III. Порядок формирования и деятельности Комиссии</w:t>
      </w:r>
    </w:p>
    <w:p>
      <w:pPr>
        <w:pStyle w:val="Normal"/>
        <w:ind w:firstLine="72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3.1. В состав Комиссии входят представители правоохранительных органов, отраслевых и территориальных органов города Курска, и других организаций (по согласованию).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3.2. Комиссию возглавляет председатель.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3.3. Председатель Комиссии: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осуществляет непосредственное руководство деятельностью Комиссии;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определяет время проведения заседаний Комиссии;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утверждает повестки дня заседаний;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ведет заседания или поручает проведение заседаний заместителю председателя Комиссии или иному компетентному лицу;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подписывает протоколы заседаний Комиссии.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3.4. Секретарь Комиссии: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формирует повестки дня заседаний;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запрашивает информацию, необходимую для подготовки материалов </w:t>
        <w:br/>
        <w:t>к очередному заседанию Комиссии;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извещает членов Комиссии и приглашенных об очередном заседании Комиссии;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организует проведение заседаний Комиссии;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обеспечивает членов Комиссии необходимыми информационными материалами;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ведет и оформляет протоколы заседаний Комиссии;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направляет выписки из решений Комиссии заинтересованным лицам;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осуществляет контроль за исполнением решений Комиссии;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подготавливает отчеты о работе Комиссии и исполнении принятых решений.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3.5. Члены Комиссии: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лично участвуют в заседании Комиссии (по согласованию </w:t>
        <w:br/>
        <w:t>с председателем с правом замены);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своевременно предоставляют информацию в пределах своей компетенции для рассмотрения на заседаниях Комиссии;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вносят предложения по формированию плана работы Комиссии, улучшению ее работы.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3.6. В отсутствие председателя Комиссии его обязанности исполняет один из заместителей председателя.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3.7. Заседания Комиссии проводятся по мере необходимости, но не реже 1 раза в год.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3.8. Решения Комиссии принимаются большинством голосов присутствующих на заседании членов и оформляются протоколом, который подписывают председатель (председательствующий) комиссии.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3.9. Решения Комиссии, принятые в пределах ее компетенции, носят рекомендательный характер.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3.10. Организационно-техническое обеспечение работы Комиссии осуществляется комитетом экономического развития Администрации города Курска.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ПРИЛОЖЕНИЕ 3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к постановлению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Курска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от «24» января 2022 года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№</w:t>
      </w:r>
      <w:r>
        <w:rPr>
          <w:sz w:val="28"/>
          <w:szCs w:val="28"/>
        </w:rPr>
        <w:t>23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межведомственной комиссии по вопросам реализации 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города Курска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государственной программы Курской области 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«Оказание содействия добровольному переселению 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Курскую область соотечественников, проживающих за рубежом»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4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519"/>
      </w:tblGrid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Кудрявцев Э.А.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главы Администрации города Курска, председатель комиссии;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Леонова С.В.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отделения по работе с соотечественниками, беженцами и вынужденными переселенцами ОВГ УМВ УМВД России по Курской области, заместитель председателя комиссии (по согласованию);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Заковырина А.К.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председатель комитета экономического развития</w:t>
              <w:br/>
              <w:t xml:space="preserve">Администрации города Курска, заместитель </w:t>
              <w:br/>
              <w:t>председателя комиссии;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Выскрибенцева Т.Н.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консультант отдела стратегического планирования, анализа и координации программ комитета экономического развития Администрации города Курска, секретарь комиссии;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Меркушева И.С.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директор ОКУ «Центр занятости населения города Курска и Курского района» </w:t>
              <w:br/>
              <w:t>(по согласованию);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Васильева Н.В.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правового управления Администрации города Курска;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Комкова Т.В.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управления информации и печати Администрации города Курска;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Колышев И.А.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управления молодежной политики, физической культуры и спорта Администрации города Курска;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Борисов А.А.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глава администрации Сеймского округа города Курска;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Дрынов А.В.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глава администрации Железнодорожного округа города Курска;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Лемтюгов О.А.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глава администрации Центрального округа города Курска;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Белкин С.И.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председатель комитета образования города Курска;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Брежнев С.Н.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председатель комитета социальной защиты населения города Курска;</w:t>
            </w:r>
          </w:p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ind w:right="591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Беляева И.Б.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директора – начальник отдела распределения муниципального жилья и реализации жилищных программ МКУ «Городской жилищный фонд».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1985" w:right="567" w:header="567" w:top="1134" w:footer="709" w:bottom="1134" w:gutter="0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2904613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6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773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ja-JP" w:val="ru-RU" w:bidi="ar-SA"/>
    </w:rPr>
  </w:style>
  <w:style w:type="paragraph" w:styleId="1">
    <w:name w:val="Heading 1"/>
    <w:basedOn w:val="Normal"/>
    <w:next w:val="Normal"/>
    <w:link w:val="10"/>
    <w:qFormat/>
    <w:rsid w:val="003227c5"/>
    <w:pPr>
      <w:keepNext w:val="true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3"/>
    <w:uiPriority w:val="99"/>
    <w:semiHidden/>
    <w:qFormat/>
    <w:rsid w:val="0036773f"/>
    <w:rPr>
      <w:rFonts w:ascii="Tahoma" w:hAnsi="Tahoma" w:eastAsia="Times New Roman" w:cs="Tahoma"/>
      <w:sz w:val="16"/>
      <w:szCs w:val="16"/>
      <w:lang w:eastAsia="ja-JP"/>
    </w:rPr>
  </w:style>
  <w:style w:type="character" w:styleId="11" w:customStyle="1">
    <w:name w:val="Заголовок 1 Знак"/>
    <w:link w:val="1"/>
    <w:qFormat/>
    <w:rsid w:val="003227c5"/>
    <w:rPr>
      <w:rFonts w:ascii="Times New Roman" w:hAnsi="Times New Roman" w:eastAsia="Times New Roman" w:cs="Times New Roman"/>
      <w:sz w:val="28"/>
      <w:szCs w:val="20"/>
      <w:lang w:eastAsia="ja-JP"/>
    </w:rPr>
  </w:style>
  <w:style w:type="character" w:styleId="Style14" w:customStyle="1">
    <w:name w:val="Основной текст с отступом Знак"/>
    <w:link w:val="a6"/>
    <w:semiHidden/>
    <w:qFormat/>
    <w:rsid w:val="00871d6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Верхний колонтитул Знак"/>
    <w:link w:val="a8"/>
    <w:uiPriority w:val="99"/>
    <w:qFormat/>
    <w:rsid w:val="0022444c"/>
    <w:rPr>
      <w:rFonts w:ascii="Times New Roman" w:hAnsi="Times New Roman" w:eastAsia="Times New Roman"/>
      <w:lang w:eastAsia="ja-JP"/>
    </w:rPr>
  </w:style>
  <w:style w:type="character" w:styleId="Style16" w:customStyle="1">
    <w:name w:val="Нижний колонтитул Знак"/>
    <w:link w:val="aa"/>
    <w:uiPriority w:val="99"/>
    <w:qFormat/>
    <w:rsid w:val="0022444c"/>
    <w:rPr>
      <w:rFonts w:ascii="Times New Roman" w:hAnsi="Times New Roman" w:eastAsia="Times New Roman"/>
      <w:lang w:eastAsia="ja-JP"/>
    </w:rPr>
  </w:style>
  <w:style w:type="character" w:styleId="Style17" w:customStyle="1">
    <w:name w:val="Основной текст Знак"/>
    <w:link w:val="ac"/>
    <w:uiPriority w:val="99"/>
    <w:semiHidden/>
    <w:qFormat/>
    <w:rsid w:val="00ee7865"/>
    <w:rPr>
      <w:rFonts w:ascii="Times New Roman" w:hAnsi="Times New Roman" w:eastAsia="Times New Roman"/>
      <w:lang w:eastAsia="ja-JP"/>
    </w:rPr>
  </w:style>
  <w:style w:type="character" w:styleId="2" w:customStyle="1">
    <w:name w:val="Основной текст2"/>
    <w:uiPriority w:val="99"/>
    <w:qFormat/>
    <w:rsid w:val="00a17c7b"/>
    <w:rPr>
      <w:rFonts w:ascii="Times New Roman" w:hAnsi="Times New Roman"/>
      <w:spacing w:val="0"/>
      <w:sz w:val="24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0">
    <w:name w:val="Body Text"/>
    <w:basedOn w:val="Normal"/>
    <w:link w:val="ad"/>
    <w:uiPriority w:val="99"/>
    <w:semiHidden/>
    <w:unhideWhenUsed/>
    <w:rsid w:val="00ee7865"/>
    <w:pPr>
      <w:spacing w:before="0" w:after="12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6b4faf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b4faf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6b4faf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6b4faf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6773f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3227c5"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Body Text Indent"/>
    <w:basedOn w:val="Normal"/>
    <w:link w:val="a7"/>
    <w:semiHidden/>
    <w:unhideWhenUsed/>
    <w:rsid w:val="00871d6b"/>
    <w:pPr>
      <w:spacing w:lineRule="auto" w:line="360"/>
      <w:ind w:firstLine="567"/>
      <w:jc w:val="both"/>
    </w:pPr>
    <w:rPr>
      <w:sz w:val="28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22444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22444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05c7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hyperlink" Target="https://login.consultant.ru/link/?req=doc&amp;base=RLAW417&amp;n=95875&amp;dst=27" TargetMode="External"/><Relationship Id="rId5" Type="http://schemas.openxmlformats.org/officeDocument/2006/relationships/hyperlink" Target="https://login.consultant.ru/link/?req=doc&amp;base=RLAW417&amp;n=95875&amp;dst=27" TargetMode="External"/><Relationship Id="rId6" Type="http://schemas.openxmlformats.org/officeDocument/2006/relationships/hyperlink" Target="https://login.consultant.ru/link/?req=doc&amp;base=RLAW417&amp;n=95875&amp;dst=27" TargetMode="External"/><Relationship Id="rId7" Type="http://schemas.openxmlformats.org/officeDocument/2006/relationships/hyperlink" Target="https://login.consultant.ru/link/?req=doc&amp;base=RLAW417&amp;n=95875&amp;dst=27" TargetMode="External"/><Relationship Id="rId8" Type="http://schemas.openxmlformats.org/officeDocument/2006/relationships/hyperlink" Target="https://login.consultant.ru/link/?req=doc&amp;base=RLAW417&amp;n=95875&amp;dst=27" TargetMode="External"/><Relationship Id="rId9" Type="http://schemas.openxmlformats.org/officeDocument/2006/relationships/hyperlink" Target="https://login.consultant.ru/link/?req=doc&amp;base=RLAW417&amp;n=95875&amp;dst=27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B70D-0EE8-4CAA-B02B-A669108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LibreOffice/7.1.8.1$Windows_X86_64 LibreOffice_project/e1f30c802c3269a1d052614453f260e49458c82c</Application>
  <AppVersion>15.0000</AppVersion>
  <Pages>11</Pages>
  <Words>1885</Words>
  <Characters>14749</Characters>
  <CharactersWithSpaces>18057</CharactersWithSpaces>
  <Paragraphs>164</Paragraphs>
  <Company>Администрация г.Курска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2022-01-24T09:59:00Z</dcterms:created>
  <dc:creator>adm43</dc:creator>
  <dc:description/>
  <dc:language>ru-RU</dc:language>
  <cp:lastModifiedBy>admkursk042</cp:lastModifiedBy>
  <cp:lastPrinted>2022-01-21T11:24:00Z</cp:lastPrinted>
  <dcterms:modified xsi:type="dcterms:W3CDTF">2022-01-24T09:59:00Z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