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 комитета финансов города Курска за отчётный период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1 января 2020 года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616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1275"/>
        <w:gridCol w:w="1275"/>
        <w:gridCol w:w="1419"/>
        <w:gridCol w:w="1134"/>
        <w:gridCol w:w="992"/>
        <w:gridCol w:w="850"/>
        <w:gridCol w:w="1277"/>
        <w:gridCol w:w="992"/>
        <w:gridCol w:w="1133"/>
        <w:gridCol w:w="1561"/>
        <w:gridCol w:w="1700"/>
        <w:gridCol w:w="1984"/>
      </w:tblGrid>
      <w:tr>
        <w:trPr>
          <w:trHeight w:val="1017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п/п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Должность</w:t>
            </w:r>
          </w:p>
        </w:tc>
        <w:tc>
          <w:tcPr>
            <w:tcW w:w="4395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Объекты недвижимости,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находящиеся в собственности </w:t>
            </w:r>
          </w:p>
        </w:tc>
        <w:tc>
          <w:tcPr>
            <w:tcW w:w="3402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Объекты недвижимости,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находящиеся в  пользовании</w:t>
            </w:r>
          </w:p>
        </w:tc>
        <w:tc>
          <w:tcPr>
            <w:tcW w:w="156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Транспортные средства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(вид, марка)</w:t>
            </w:r>
          </w:p>
        </w:tc>
        <w:tc>
          <w:tcPr>
            <w:tcW w:w="1700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Декларированный годовой доход за 2020 год (руб.)</w:t>
            </w:r>
          </w:p>
        </w:tc>
        <w:tc>
          <w:tcPr>
            <w:tcW w:w="198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Сведения об источниках получения средств, за счёт которых совершена сделка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(вид приобретенного имущества, источники)</w:t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вид объект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а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вид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собствен-ности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площадь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(кв.м.)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страна расположения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вид объект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площадь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(кв.м.)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страна располо-жения</w:t>
            </w:r>
          </w:p>
        </w:tc>
        <w:tc>
          <w:tcPr>
            <w:tcW w:w="156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Стекачев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Виктор Иванович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Председатель комитета финансов города Курска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Автомобили легковые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Оперь «Астра»,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Фольксваген «Гольф плюс»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1755577,48</w:t>
            </w:r>
          </w:p>
        </w:tc>
        <w:tc>
          <w:tcPr>
            <w:tcW w:w="198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обслуживания дома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совместная 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Жилой дом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совместная 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195,3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Супруга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обслуживания дома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совместная 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-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910578,11</w:t>
            </w:r>
          </w:p>
        </w:tc>
        <w:tc>
          <w:tcPr>
            <w:tcW w:w="198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Жилой дом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195,3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Кузнецова Ольга Юрьевна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Заместитель председателя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7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,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4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46,5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Renault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Sandero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853765,89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890,0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37,4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153627,00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46,5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2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Белкина Элеонора Владимировна 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Начальник отдела планирования расходов бюджета города 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47,3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652559,94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19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1/4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34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47,3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Renault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Duster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, 2017 г. 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352252,65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6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1/4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 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1/4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47,3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Михалева Елена Семеновна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Заместитель начальника отдела планирования расходов бюджета города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56,4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683930,88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сельскохозяйственного назначения для ведения садоводства и огородничества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503,00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НИССАН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TIIDA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736568,50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56,4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ШЕВРОЛЕ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LANOS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Сын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56,4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987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Севостьянова Елена Александровна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Заместитель председателя-начальник отдела планирования доходов бюджета города  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Жилой дом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Индивидуальная                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56,5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1004252.53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0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Приусадебный земельный участок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876,0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8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Бартенева Екатерина Николаевна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Заместитель начальника отдела планирования доходов бюджета города 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3/4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62,3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           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505497.58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48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101,7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7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Земельный участок для ведения садоводства и огородничества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           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16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53,4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           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Фольксваген Тигуан 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480000,00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615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101,7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           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Опель Инсигния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97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 xml:space="preserve">Гараж 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Россия                 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РЕНО ЛОГАН, 2007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 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РЕНО ЛОГАН, 2007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eastAsia="ru-RU" w:bidi="ar-SA"/>
              </w:rPr>
              <w:t>(индивидуальная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97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Сын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долевая,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1/4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62,3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97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101,7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51" w:hRule="atLeast"/>
        </w:trPr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Жиляева Кира Михайловна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отдела санкциониро-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вания расходов бюджета 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60,9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Renault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Логан 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en-US" w:eastAsia="ru-RU" w:bidi="ar-SA"/>
              </w:rPr>
              <w:t>SR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628303,02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6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60,9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 Shevrolet Kaptiva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        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702607,17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703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Общая долевая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½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64,3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Гараж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Сын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60,9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Сын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60,9</w:t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Полякова Снежана Вячеславовна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Заместитель начальника отдела санкциониро-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вания расходов бюджета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1/6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60,8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575186,91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Летова Елена Павловна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отдела правового обеспечения</w:t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589161,03</w:t>
            </w:r>
          </w:p>
        </w:tc>
        <w:tc>
          <w:tcPr>
            <w:tcW w:w="198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72,1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Шкодa Октавия, 1997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596456,26</w:t>
            </w:r>
          </w:p>
        </w:tc>
        <w:tc>
          <w:tcPr>
            <w:tcW w:w="1984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72,1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Гараж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42,7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48" w:hRule="atLeast"/>
        </w:trPr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72,1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1/5 доля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72,1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Бабкина Елена Владимировна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Заместитель начальника отдела правового обеспечения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527330,30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ТОЙОТА КОРОЛЛА, 2010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1893604,11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Легковой автомобиль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МИЦУБИСИ ОУТЛЕНДЕР, 2019 г.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(индивидуальная)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1584,00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92" w:hRule="atLeast"/>
        </w:trPr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Братякина Людмила Александровна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Консультант отдела правового обеспечения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40,6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539604,24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33,1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350" w:hRule="atLeast"/>
        </w:trPr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Шепелева Вера Вениаминовна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Консультант отдела правового обеспечения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44,8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388781,13</w:t>
            </w:r>
          </w:p>
        </w:tc>
        <w:tc>
          <w:tcPr>
            <w:tcW w:w="19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Комаревцева Ольга Владиславовна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отдела автоматизации финансовых расходов комитета финансов города Курска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61,0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883007,67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52,3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Гараж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42,6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Шаталова Наталья Вениаминовна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отдела отчета и отчетности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2/81 доли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2592000,00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807485,60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52,6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Валиулина Вита Рафаиловна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бюджетного отдела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Квартира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106,9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648923,28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Головин Роман Николаевич</w:t>
            </w:r>
          </w:p>
        </w:tc>
        <w:tc>
          <w:tcPr>
            <w:tcW w:w="12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Начальник организационно-кадрового отдела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75,9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4"/>
                <w:szCs w:val="16"/>
                <w:lang w:val="ru-RU" w:eastAsia="ru-RU" w:bidi="ar-SA"/>
              </w:rPr>
              <w:t xml:space="preserve">Легковой автомобиль </w:t>
            </w:r>
            <w:r>
              <w:rPr>
                <w:rFonts w:eastAsia="" w:cs="Times New Roman" w:ascii="Times New Roman" w:hAnsi="Times New Roman"/>
                <w:kern w:val="0"/>
                <w:sz w:val="14"/>
                <w:lang w:val="ru-RU" w:eastAsia="ru-RU" w:bidi="ar-SA"/>
              </w:rPr>
              <w:t>ЛАДА GAB330 LADA XRAY, 2017 г. (индивидуальная)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675641,19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Жилой дом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долевая ¼ доля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95,6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Гараж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Индивидуальная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29,8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Супруга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Общая совместная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75,9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4"/>
                <w:szCs w:val="16"/>
                <w:lang w:val="ru-RU" w:eastAsia="ru-RU" w:bidi="ar-SA"/>
              </w:rPr>
              <w:t>Легковой автомобильДЭУ МАТИЗ</w:t>
            </w:r>
            <w:r>
              <w:rPr>
                <w:rFonts w:eastAsia="" w:cs="Times New Roman" w:ascii="Times New Roman" w:hAnsi="Times New Roman"/>
                <w:kern w:val="0"/>
                <w:sz w:val="14"/>
                <w:lang w:val="ru-RU" w:eastAsia="ru-RU" w:bidi="ar-SA"/>
              </w:rPr>
              <w:t>, 2008 г. (индивидуальная)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21847,62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Сын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75,9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Дочь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 xml:space="preserve">Квартира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75,9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Россия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4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536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BACE-E5C1-4DA9-A037-E35F3F31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39</Pages>
  <Words>835</Words>
  <Characters>5938</Characters>
  <CharactersWithSpaces>6480</CharactersWithSpaces>
  <Paragraphs>453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2021-05-14T13:12:00Z</dcterms:created>
  <dc:creator>Iva</dc:creator>
  <dc:description/>
  <dc:language>ru-RU</dc:language>
  <cp:lastModifiedBy>Cacao2</cp:lastModifiedBy>
  <cp:lastPrinted>2021-05-17T08:15:00Z</cp:lastPrinted>
  <dcterms:modified xsi:type="dcterms:W3CDTF">2021-05-17T08:29:00Z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