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E2" w:rsidRDefault="00097FE2" w:rsidP="00097FE2">
      <w:pPr>
        <w:ind w:left="1418"/>
        <w:jc w:val="center"/>
        <w:rPr>
          <w:b/>
          <w:spacing w:val="20"/>
          <w:sz w:val="38"/>
          <w:szCs w:val="20"/>
        </w:rPr>
      </w:pPr>
      <w:r>
        <w:rPr>
          <w:rFonts w:ascii="Times New Roman CYR" w:hAnsi="Times New Roman CYR"/>
          <w:b/>
          <w:spacing w:val="20"/>
          <w:sz w:val="38"/>
          <w:szCs w:val="20"/>
        </w:rPr>
        <w:t>Администрация города Курска</w:t>
      </w:r>
    </w:p>
    <w:p w:rsidR="00097FE2" w:rsidRDefault="00097FE2" w:rsidP="00097FE2">
      <w:pPr>
        <w:spacing w:after="120"/>
        <w:ind w:left="1418"/>
        <w:jc w:val="center"/>
        <w:rPr>
          <w:b/>
          <w:sz w:val="20"/>
          <w:szCs w:val="20"/>
        </w:rPr>
      </w:pPr>
    </w:p>
    <w:p w:rsidR="00097FE2" w:rsidRDefault="00097FE2" w:rsidP="00097FE2">
      <w:pPr>
        <w:framePr w:hSpace="180" w:wrap="auto" w:vAnchor="text" w:hAnchor="text" w:x="87" w:y="1"/>
        <w:rPr>
          <w:b/>
          <w:noProof/>
          <w:color w:val="000080"/>
          <w:spacing w:val="20"/>
          <w:sz w:val="20"/>
        </w:rPr>
      </w:pPr>
      <w:r>
        <w:rPr>
          <w:b/>
          <w:noProof/>
          <w:color w:val="000080"/>
          <w:spacing w:val="20"/>
          <w:sz w:val="20"/>
        </w:rPr>
        <w:drawing>
          <wp:inline distT="0" distB="0" distL="0" distR="0">
            <wp:extent cx="9239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E2" w:rsidRDefault="00097FE2" w:rsidP="00097FE2">
      <w:pPr>
        <w:spacing w:after="120"/>
        <w:ind w:left="1418"/>
        <w:jc w:val="center"/>
        <w:rPr>
          <w:rFonts w:ascii="Times New Roman CYR" w:hAnsi="Times New Roman CYR"/>
          <w:b/>
          <w:sz w:val="32"/>
          <w:szCs w:val="20"/>
        </w:rPr>
      </w:pPr>
      <w:r>
        <w:rPr>
          <w:rFonts w:ascii="Times New Roman CYR" w:hAnsi="Times New Roman CYR"/>
          <w:b/>
          <w:sz w:val="34"/>
          <w:szCs w:val="20"/>
        </w:rPr>
        <w:t>Управление культуры</w:t>
      </w:r>
      <w:r>
        <w:rPr>
          <w:rFonts w:ascii="Times New Roman CYR" w:hAnsi="Times New Roman CYR"/>
          <w:b/>
          <w:sz w:val="32"/>
          <w:szCs w:val="20"/>
        </w:rPr>
        <w:t xml:space="preserve"> города Курска</w:t>
      </w:r>
    </w:p>
    <w:p w:rsidR="00097FE2" w:rsidRDefault="00097FE2" w:rsidP="00097FE2">
      <w:pPr>
        <w:spacing w:after="120"/>
        <w:ind w:left="1418"/>
        <w:jc w:val="center"/>
        <w:rPr>
          <w:b/>
          <w:sz w:val="16"/>
          <w:szCs w:val="16"/>
        </w:rPr>
      </w:pPr>
    </w:p>
    <w:p w:rsidR="00097FE2" w:rsidRDefault="00097FE2" w:rsidP="00097FE2">
      <w:pPr>
        <w:spacing w:after="120"/>
        <w:ind w:left="1418"/>
        <w:jc w:val="center"/>
        <w:rPr>
          <w:b/>
          <w:sz w:val="26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65405</wp:posOffset>
                </wp:positionV>
                <wp:extent cx="5923280" cy="34925"/>
                <wp:effectExtent l="0" t="0" r="20320" b="4127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3280" cy="34925"/>
                          <a:chOff x="0" y="0"/>
                          <a:chExt cx="20000" cy="20020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0"/>
                            <a:ext cx="20000" cy="3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116" y="19656"/>
                            <a:ext cx="19760" cy="3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.65pt;margin-top:5.15pt;width:466.4pt;height:2.75pt;z-index:251659264" coordsize="20000,2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" o:allowincell="f">
                <v:line id="Line 4" o:spid="_x0000_s1027" style="position:absolute;visibility:visible;mso-wrap-style:square" from="0,0" to="20000,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sh6MUAAADaAAAADwAAAGRycy9kb3ducmV2LnhtbESPQWvCQBSE74L/YXlCb7qxldJG1yDa&#10;UA9eqoXq7Zl9JsHs2zS7iem/7wqFHoeZ+YZZJL2pREeNKy0rmE4iEMSZ1SXnCj4P6fgFhPPIGivL&#10;pOCHHCTL4WCBsbY3/qBu73MRIOxiVFB4X8dSuqwgg25ia+LgXWxj0AfZ5FI3eAtwU8nHKHqWBksO&#10;CwXWtC4ou+5bo+Cwfvp627yWs9P3meT7bnNMt61V6mHUr+YgPPX+P/zX3moFM7hf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sh6MUAAADaAAAADwAAAAAAAAAA&#10;AAAAAAChAgAAZHJzL2Rvd25yZXYueG1sUEsFBgAAAAAEAAQA+QAAAJMDAAAAAA==&#10;" strokecolor="navy" strokeweight="1.5pt"/>
                <v:line id="Line 5" o:spid="_x0000_s1028" style="position:absolute;flip:x;visibility:visible;mso-wrap-style:square" from="116,19656" to="19876,2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k0KMIAAADaAAAADwAAAGRycy9kb3ducmV2LnhtbESPQWsCMRSE70L/Q3gFb5qtoMhqlFbs&#10;UvGi2woeH5vnZunmJWxS3f77piB4HGbmG2a57m0rrtSFxrGCl3EGgrhyuuFawdfn+2gOIkRkja1j&#10;UvBLAdarp8ESc+1ufKRrGWuRIBxyVGBi9LmUoTJkMYydJ07exXUWY5JdLXWHtwS3rZxk2UxabDgt&#10;GPS0MVR9lz9WQUH7benmu5MPfhL25lyUb4dCqeFz/7oAEamPj/C9/aEVTOH/Sro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k0KMIAAADaAAAADwAAAAAAAAAAAAAA&#10;AAChAgAAZHJzL2Rvd25yZXYueG1sUEsFBgAAAAAEAAQA+QAAAJADAAAAAA==&#10;" strokecolor="navy" strokeweight="1pt"/>
              </v:group>
            </w:pict>
          </mc:Fallback>
        </mc:AlternateContent>
      </w:r>
    </w:p>
    <w:p w:rsidR="00097FE2" w:rsidRDefault="00097FE2" w:rsidP="00097FE2">
      <w:pPr>
        <w:keepNext/>
        <w:tabs>
          <w:tab w:val="center" w:pos="4677"/>
        </w:tabs>
        <w:jc w:val="center"/>
        <w:outlineLvl w:val="0"/>
        <w:rPr>
          <w:rFonts w:ascii="Times New Roman CYR" w:hAnsi="Times New Roman CYR"/>
          <w:b/>
          <w:bCs/>
          <w:sz w:val="32"/>
          <w:szCs w:val="32"/>
        </w:rPr>
      </w:pPr>
      <w:r>
        <w:rPr>
          <w:rFonts w:ascii="Times New Roman CYR" w:hAnsi="Times New Roman CYR"/>
          <w:b/>
          <w:bCs/>
          <w:sz w:val="32"/>
          <w:szCs w:val="32"/>
        </w:rPr>
        <w:t>ПРИКАЗ</w:t>
      </w:r>
    </w:p>
    <w:p w:rsidR="00097FE2" w:rsidRDefault="00097FE2" w:rsidP="00097FE2"/>
    <w:p w:rsidR="00097FE2" w:rsidRDefault="00097FE2" w:rsidP="00097FE2"/>
    <w:p w:rsidR="00097FE2" w:rsidRPr="00A74AC3" w:rsidRDefault="00097FE2" w:rsidP="00097FE2">
      <w:pPr>
        <w:rPr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186690</wp:posOffset>
                </wp:positionV>
                <wp:extent cx="1737360" cy="0"/>
                <wp:effectExtent l="0" t="0" r="152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14.7pt" to="13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" o:allowincell="f"/>
            </w:pict>
          </mc:Fallback>
        </mc:AlternateContent>
      </w:r>
      <w:r>
        <w:rPr>
          <w:color w:val="000000"/>
          <w:sz w:val="28"/>
          <w:szCs w:val="28"/>
        </w:rPr>
        <w:t xml:space="preserve">     </w:t>
      </w:r>
      <w:r w:rsidR="00ED40EB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.01.202</w:t>
      </w:r>
      <w:r w:rsidR="00ED40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  <w:r w:rsidR="00F503B2">
        <w:rPr>
          <w:rFonts w:ascii="Times New Roman CYR" w:hAnsi="Times New Roman CYR"/>
          <w:color w:val="000000"/>
          <w:sz w:val="28"/>
          <w:szCs w:val="28"/>
        </w:rPr>
        <w:t xml:space="preserve">             </w:t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>
        <w:rPr>
          <w:rFonts w:ascii="Times New Roman CYR" w:hAnsi="Times New Roman CYR"/>
          <w:color w:val="000000"/>
          <w:sz w:val="28"/>
          <w:szCs w:val="28"/>
        </w:rPr>
        <w:tab/>
      </w:r>
      <w:r w:rsidR="00F503B2" w:rsidRPr="000A5833">
        <w:rPr>
          <w:rFonts w:ascii="Times New Roman CYR" w:hAnsi="Times New Roman CYR"/>
          <w:color w:val="000000"/>
          <w:sz w:val="28"/>
          <w:szCs w:val="28"/>
          <w:u w:val="single"/>
        </w:rPr>
        <w:t xml:space="preserve">№ </w:t>
      </w:r>
      <w:r w:rsidR="000A5833" w:rsidRPr="000A5833">
        <w:rPr>
          <w:rFonts w:ascii="Times New Roman CYR" w:hAnsi="Times New Roman CYR"/>
          <w:color w:val="000000"/>
          <w:sz w:val="28"/>
          <w:szCs w:val="28"/>
          <w:u w:val="single"/>
        </w:rPr>
        <w:t>02/06-р</w:t>
      </w:r>
    </w:p>
    <w:p w:rsidR="00097FE2" w:rsidRDefault="00097FE2" w:rsidP="000A58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</w:p>
    <w:p w:rsidR="00256F9C" w:rsidRDefault="00097FE2" w:rsidP="000A58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приказ </w:t>
      </w:r>
      <w:r w:rsidR="00550057">
        <w:rPr>
          <w:b/>
          <w:color w:val="000000"/>
          <w:sz w:val="28"/>
          <w:szCs w:val="28"/>
        </w:rPr>
        <w:t xml:space="preserve">от </w:t>
      </w:r>
      <w:r w:rsidR="00FA455C">
        <w:rPr>
          <w:b/>
          <w:color w:val="000000"/>
          <w:sz w:val="28"/>
          <w:szCs w:val="28"/>
        </w:rPr>
        <w:t>09</w:t>
      </w:r>
      <w:r w:rsidR="00550057">
        <w:rPr>
          <w:b/>
          <w:color w:val="000000"/>
          <w:sz w:val="28"/>
          <w:szCs w:val="28"/>
        </w:rPr>
        <w:t>.</w:t>
      </w:r>
      <w:r w:rsidR="00FA455C">
        <w:rPr>
          <w:b/>
          <w:color w:val="000000"/>
          <w:sz w:val="28"/>
          <w:szCs w:val="28"/>
        </w:rPr>
        <w:t>01</w:t>
      </w:r>
      <w:r w:rsidR="00550057">
        <w:rPr>
          <w:b/>
          <w:color w:val="000000"/>
          <w:sz w:val="28"/>
          <w:szCs w:val="28"/>
        </w:rPr>
        <w:t>.20</w:t>
      </w:r>
      <w:r w:rsidR="00FA455C">
        <w:rPr>
          <w:b/>
          <w:color w:val="000000"/>
          <w:sz w:val="28"/>
          <w:szCs w:val="28"/>
        </w:rPr>
        <w:t>20</w:t>
      </w:r>
      <w:r w:rsidR="00550057">
        <w:rPr>
          <w:b/>
          <w:color w:val="000000"/>
          <w:sz w:val="28"/>
          <w:szCs w:val="28"/>
        </w:rPr>
        <w:t xml:space="preserve"> №</w:t>
      </w:r>
      <w:r w:rsidR="00FA455C">
        <w:rPr>
          <w:b/>
          <w:color w:val="000000"/>
          <w:sz w:val="28"/>
          <w:szCs w:val="28"/>
        </w:rPr>
        <w:t>06</w:t>
      </w:r>
      <w:r w:rsidR="00550057">
        <w:rPr>
          <w:b/>
          <w:color w:val="000000"/>
          <w:sz w:val="28"/>
          <w:szCs w:val="28"/>
        </w:rPr>
        <w:t>/06-р</w:t>
      </w:r>
    </w:p>
    <w:p w:rsidR="00097FE2" w:rsidRDefault="00097FE2" w:rsidP="00097FE2">
      <w:pPr>
        <w:rPr>
          <w:b/>
          <w:sz w:val="28"/>
          <w:szCs w:val="28"/>
        </w:rPr>
      </w:pPr>
    </w:p>
    <w:p w:rsidR="00097FE2" w:rsidRDefault="00097FE2" w:rsidP="00097FE2">
      <w:bookmarkStart w:id="0" w:name="_GoBack"/>
      <w:bookmarkEnd w:id="0"/>
    </w:p>
    <w:p w:rsidR="00097FE2" w:rsidRDefault="00097FE2" w:rsidP="00097FE2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связи с вступлением в силу </w:t>
      </w:r>
      <w:r w:rsidR="00A74AC3">
        <w:rPr>
          <w:sz w:val="28"/>
        </w:rPr>
        <w:t xml:space="preserve">приказа Минфина России  от 14.09.2020 №198н, </w:t>
      </w:r>
      <w:r>
        <w:rPr>
          <w:sz w:val="28"/>
        </w:rPr>
        <w:t xml:space="preserve">Федеральных стандартов бухгалтерского учета для организаций государственного </w:t>
      </w:r>
      <w:r w:rsidR="00442A18">
        <w:rPr>
          <w:sz w:val="28"/>
        </w:rPr>
        <w:t>сектора,</w:t>
      </w:r>
      <w:r w:rsidR="00550057">
        <w:rPr>
          <w:sz w:val="28"/>
        </w:rPr>
        <w:t xml:space="preserve"> </w:t>
      </w:r>
      <w:r>
        <w:rPr>
          <w:sz w:val="28"/>
        </w:rPr>
        <w:t xml:space="preserve"> </w:t>
      </w:r>
      <w:r w:rsidR="00550057">
        <w:rPr>
          <w:sz w:val="28"/>
        </w:rPr>
        <w:t xml:space="preserve">утвержденных приказами Минфина России от </w:t>
      </w:r>
      <w:r w:rsidR="004F1938">
        <w:rPr>
          <w:sz w:val="28"/>
        </w:rPr>
        <w:t>30</w:t>
      </w:r>
      <w:r w:rsidR="00550057">
        <w:rPr>
          <w:sz w:val="28"/>
        </w:rPr>
        <w:t>.</w:t>
      </w:r>
      <w:r w:rsidR="004F1938">
        <w:rPr>
          <w:sz w:val="28"/>
        </w:rPr>
        <w:t>12</w:t>
      </w:r>
      <w:r w:rsidR="00550057">
        <w:rPr>
          <w:sz w:val="28"/>
        </w:rPr>
        <w:t>.201</w:t>
      </w:r>
      <w:r w:rsidR="004F1938">
        <w:rPr>
          <w:sz w:val="28"/>
        </w:rPr>
        <w:t>7</w:t>
      </w:r>
      <w:r w:rsidR="00550057">
        <w:rPr>
          <w:sz w:val="28"/>
        </w:rPr>
        <w:t xml:space="preserve"> №</w:t>
      </w:r>
      <w:r w:rsidR="004F1938">
        <w:rPr>
          <w:sz w:val="28"/>
        </w:rPr>
        <w:t>277</w:t>
      </w:r>
      <w:r w:rsidR="00550057">
        <w:rPr>
          <w:sz w:val="28"/>
        </w:rPr>
        <w:t xml:space="preserve">н </w:t>
      </w:r>
      <w:r w:rsidR="00256F9C">
        <w:rPr>
          <w:sz w:val="28"/>
        </w:rPr>
        <w:t>"</w:t>
      </w:r>
      <w:r w:rsidR="004F1938">
        <w:rPr>
          <w:sz w:val="28"/>
        </w:rPr>
        <w:t>Информация о связанных сторонах"</w:t>
      </w:r>
      <w:r w:rsidR="00256F9C">
        <w:rPr>
          <w:sz w:val="28"/>
        </w:rPr>
        <w:t xml:space="preserve">, </w:t>
      </w:r>
      <w:r w:rsidR="00550057">
        <w:rPr>
          <w:sz w:val="28"/>
        </w:rPr>
        <w:t xml:space="preserve">от </w:t>
      </w:r>
      <w:r w:rsidR="004F1938">
        <w:rPr>
          <w:sz w:val="28"/>
        </w:rPr>
        <w:t>15</w:t>
      </w:r>
      <w:r w:rsidR="00550057">
        <w:rPr>
          <w:sz w:val="28"/>
        </w:rPr>
        <w:t>.</w:t>
      </w:r>
      <w:r w:rsidR="004F1938">
        <w:rPr>
          <w:sz w:val="28"/>
        </w:rPr>
        <w:t>11</w:t>
      </w:r>
      <w:r w:rsidR="00550057">
        <w:rPr>
          <w:sz w:val="28"/>
        </w:rPr>
        <w:t>.201</w:t>
      </w:r>
      <w:r w:rsidR="004F1938">
        <w:rPr>
          <w:sz w:val="28"/>
        </w:rPr>
        <w:t>9</w:t>
      </w:r>
      <w:r w:rsidR="00550057">
        <w:rPr>
          <w:sz w:val="28"/>
        </w:rPr>
        <w:t xml:space="preserve"> №</w:t>
      </w:r>
      <w:r w:rsidR="004F1938">
        <w:rPr>
          <w:sz w:val="28"/>
        </w:rPr>
        <w:t>181</w:t>
      </w:r>
      <w:r w:rsidR="00550057">
        <w:rPr>
          <w:sz w:val="28"/>
        </w:rPr>
        <w:t xml:space="preserve">н </w:t>
      </w:r>
      <w:r w:rsidR="00C64CAB">
        <w:rPr>
          <w:sz w:val="28"/>
        </w:rPr>
        <w:t>"</w:t>
      </w:r>
      <w:r w:rsidR="004F1938">
        <w:rPr>
          <w:sz w:val="28"/>
        </w:rPr>
        <w:t>Нематериальные активы</w:t>
      </w:r>
      <w:r w:rsidR="00C64CAB">
        <w:rPr>
          <w:sz w:val="28"/>
        </w:rPr>
        <w:t xml:space="preserve">", </w:t>
      </w:r>
      <w:r w:rsidR="004F1938">
        <w:rPr>
          <w:sz w:val="28"/>
        </w:rPr>
        <w:t>от 15.11.2019 №182н "Затраты по заимствованиям", от 15.11.2019 №183 "Совместная деятельность", от 15.11.2019 №184н " Выплаты персоналу"</w:t>
      </w:r>
      <w:proofErr w:type="gramEnd"/>
    </w:p>
    <w:p w:rsidR="00550057" w:rsidRDefault="00550057" w:rsidP="00097FE2">
      <w:pPr>
        <w:ind w:firstLine="720"/>
        <w:jc w:val="both"/>
        <w:rPr>
          <w:sz w:val="28"/>
        </w:rPr>
      </w:pPr>
    </w:p>
    <w:p w:rsidR="00097FE2" w:rsidRDefault="00097FE2" w:rsidP="00097FE2">
      <w:pPr>
        <w:jc w:val="both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приказываю:</w:t>
      </w:r>
    </w:p>
    <w:p w:rsidR="00097FE2" w:rsidRDefault="00097FE2" w:rsidP="00097FE2">
      <w:pPr>
        <w:jc w:val="both"/>
        <w:rPr>
          <w:b/>
          <w:bCs/>
          <w:sz w:val="28"/>
        </w:rPr>
      </w:pPr>
    </w:p>
    <w:p w:rsidR="0061497D" w:rsidRDefault="00097FE2" w:rsidP="00097FE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550057">
        <w:rPr>
          <w:sz w:val="28"/>
        </w:rPr>
        <w:t xml:space="preserve">В приложении к приказу </w:t>
      </w:r>
      <w:r w:rsidR="0061497D">
        <w:rPr>
          <w:sz w:val="28"/>
        </w:rPr>
        <w:t xml:space="preserve">"Об учетной политике" </w:t>
      </w:r>
      <w:r w:rsidR="00550057">
        <w:rPr>
          <w:sz w:val="28"/>
        </w:rPr>
        <w:t xml:space="preserve">от </w:t>
      </w:r>
      <w:r w:rsidR="00FC404B">
        <w:rPr>
          <w:sz w:val="28"/>
        </w:rPr>
        <w:t>30</w:t>
      </w:r>
      <w:r w:rsidR="00550057">
        <w:rPr>
          <w:sz w:val="28"/>
        </w:rPr>
        <w:t>.</w:t>
      </w:r>
      <w:r w:rsidR="00FC404B">
        <w:rPr>
          <w:sz w:val="28"/>
        </w:rPr>
        <w:t>12</w:t>
      </w:r>
      <w:r w:rsidR="00550057">
        <w:rPr>
          <w:sz w:val="28"/>
        </w:rPr>
        <w:t>.20</w:t>
      </w:r>
      <w:r w:rsidR="00FC404B">
        <w:rPr>
          <w:sz w:val="28"/>
        </w:rPr>
        <w:t>19</w:t>
      </w:r>
      <w:r w:rsidR="00550057">
        <w:rPr>
          <w:sz w:val="28"/>
        </w:rPr>
        <w:t xml:space="preserve"> №</w:t>
      </w:r>
      <w:r w:rsidR="00FC404B">
        <w:rPr>
          <w:sz w:val="28"/>
        </w:rPr>
        <w:t>212</w:t>
      </w:r>
      <w:r w:rsidR="00550057">
        <w:rPr>
          <w:sz w:val="28"/>
        </w:rPr>
        <w:t>/06-р</w:t>
      </w:r>
      <w:r w:rsidR="0061497D">
        <w:rPr>
          <w:sz w:val="28"/>
        </w:rPr>
        <w:t xml:space="preserve"> п</w:t>
      </w:r>
      <w:r w:rsidR="0057676C">
        <w:rPr>
          <w:sz w:val="28"/>
        </w:rPr>
        <w:t xml:space="preserve">ункт 2.1 </w:t>
      </w:r>
      <w:r w:rsidR="00A16600">
        <w:rPr>
          <w:sz w:val="28"/>
        </w:rPr>
        <w:t>Раздел</w:t>
      </w:r>
      <w:r w:rsidR="0057676C">
        <w:rPr>
          <w:sz w:val="28"/>
        </w:rPr>
        <w:t>а</w:t>
      </w:r>
      <w:r w:rsidR="00A16600">
        <w:rPr>
          <w:sz w:val="28"/>
        </w:rPr>
        <w:t xml:space="preserve"> </w:t>
      </w:r>
      <w:r w:rsidR="00C64CAB">
        <w:rPr>
          <w:sz w:val="28"/>
        </w:rPr>
        <w:t xml:space="preserve">2 </w:t>
      </w:r>
      <w:r w:rsidR="00A16600">
        <w:rPr>
          <w:sz w:val="28"/>
        </w:rPr>
        <w:t xml:space="preserve">"Общие принципы ведения бухгалтерского учета"  изложить в </w:t>
      </w:r>
      <w:r w:rsidR="00CA5F72">
        <w:rPr>
          <w:sz w:val="28"/>
        </w:rPr>
        <w:t>новой</w:t>
      </w:r>
      <w:r w:rsidR="00A16600">
        <w:rPr>
          <w:sz w:val="28"/>
        </w:rPr>
        <w:t xml:space="preserve"> редакции</w:t>
      </w:r>
      <w:r w:rsidR="0061497D">
        <w:rPr>
          <w:sz w:val="28"/>
        </w:rPr>
        <w:t>:</w:t>
      </w:r>
    </w:p>
    <w:p w:rsidR="00097FE2" w:rsidRPr="00A16600" w:rsidRDefault="00A16600" w:rsidP="00097FE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 xml:space="preserve">" </w:t>
      </w:r>
      <w:r w:rsidRPr="00A16600">
        <w:rPr>
          <w:sz w:val="28"/>
          <w:szCs w:val="28"/>
        </w:rPr>
        <w:t>Ведение бухгалтерского учета в управлении культуры города Курска осуществляется в соответствии с Федеральным законом  от 6 декабря 2011г. №402-ФЗ «О бухгалтерском учете», Приказом Минфина РФ от 01.12.2010  №157н, приказом Минфина России от 06.12.2010 №162н, приказом Минфина  от 30.03.2015г. №52н, Приказом Минфина России от 31.12.2016г. №256н " Об утверждении федерального стандарта бухгалтерского учета для организаций государственного сектора "Концептуальные основы бухгалтерского</w:t>
      </w:r>
      <w:proofErr w:type="gramEnd"/>
      <w:r w:rsidRPr="00A16600">
        <w:rPr>
          <w:sz w:val="28"/>
          <w:szCs w:val="28"/>
        </w:rPr>
        <w:t xml:space="preserve"> </w:t>
      </w:r>
      <w:proofErr w:type="gramStart"/>
      <w:r w:rsidRPr="00A16600">
        <w:rPr>
          <w:sz w:val="28"/>
          <w:szCs w:val="28"/>
        </w:rPr>
        <w:t>учета и отчетности организаций государственного сектора", Приказом Минфина России от 31.12.2016г. №257н "Об утверждении федерального стандарта бухгалтерского учета для организации государственного сектора "Основные средства", Приказом Минфина России от 31.12.2016г. №258н "Об утверждении федерального стандарта бухгалтерского учета для организаций государственного сектора "Аренда", Приказом Минфина России от 31.12.2016г. №259н "Об утверждении федерального стандарта бухгалтерского учета для организаций государственного сектора</w:t>
      </w:r>
      <w:proofErr w:type="gramEnd"/>
      <w:r w:rsidRPr="00A16600">
        <w:rPr>
          <w:sz w:val="28"/>
          <w:szCs w:val="28"/>
        </w:rPr>
        <w:t xml:space="preserve">  "</w:t>
      </w:r>
      <w:proofErr w:type="gramStart"/>
      <w:r w:rsidRPr="00A16600">
        <w:rPr>
          <w:sz w:val="28"/>
          <w:szCs w:val="28"/>
        </w:rPr>
        <w:t xml:space="preserve">Обесценение активов", Приказом Минфина России от 31.12.2016г. №260н "Об утверждении федерального стандарта бухгалтерского учета для организаций государственного сектора </w:t>
      </w:r>
      <w:r w:rsidRPr="00A16600">
        <w:rPr>
          <w:sz w:val="28"/>
          <w:szCs w:val="28"/>
        </w:rPr>
        <w:lastRenderedPageBreak/>
        <w:t>"Представление бухгалтерской (финансовой) отчетности", Федеральным стандартом бухгалтерского учета для организаций государственного сектора "Доходы", утвержденный Приказом Минфина России от 27.02.2018г. №32н, Федеральным стандартом бухгалтерского  учета для организаций государственного сектора "Учетная политика, оценочные значения и ошибки", утвержденный Приказом Минфина России от 30.12.2017г. №274н, Федеральным стандартом бухгалтерского учета для организаций государственного  сектора "События после отчетной даты", утвержденный Приказом  Минфина России от 30.12.2017г. №275н, Федеральным стандартом бухгалтерского учета для организаций государственного сектора "Отчет о движении денежных средств", утвержденный Приказом Минфина России от 30.12.2017г. №278н, Федеральным стандартом бухгалтерского учета для организаций государственного  сектора "Резервы.</w:t>
      </w:r>
      <w:proofErr w:type="gramEnd"/>
      <w:r w:rsidRPr="00A16600">
        <w:rPr>
          <w:sz w:val="28"/>
          <w:szCs w:val="28"/>
        </w:rPr>
        <w:t xml:space="preserve"> </w:t>
      </w:r>
      <w:proofErr w:type="gramStart"/>
      <w:r w:rsidRPr="00A16600">
        <w:rPr>
          <w:sz w:val="28"/>
          <w:szCs w:val="28"/>
        </w:rPr>
        <w:t xml:space="preserve">Раскрытие информации об условных обязательствах и условных активах", утвержденный Приказом  Минфина России от 30.05.2018г. №124н,  Федеральным стандартом бухгалтерского учета для организаций государственного  сектора "Запасы", утвержденный Приказом  Минфина России от 07.12.2018г. №256н, Федеральным стандартом бухгалтерского учета для организаций государственного  сектора "Бюджетная информация в бухгалтерской  (финансовой) отчетности", утвержденный Приказом  Минфина России от 28.02.2018г. №37н, </w:t>
      </w:r>
      <w:r w:rsidR="009056B3">
        <w:rPr>
          <w:sz w:val="28"/>
        </w:rPr>
        <w:t>Федеральн</w:t>
      </w:r>
      <w:r w:rsidR="00094F98">
        <w:rPr>
          <w:sz w:val="28"/>
        </w:rPr>
        <w:t>ым</w:t>
      </w:r>
      <w:r w:rsidR="009056B3">
        <w:rPr>
          <w:sz w:val="28"/>
        </w:rPr>
        <w:t xml:space="preserve"> стандарто</w:t>
      </w:r>
      <w:r w:rsidR="00094F98">
        <w:rPr>
          <w:sz w:val="28"/>
        </w:rPr>
        <w:t>м</w:t>
      </w:r>
      <w:r w:rsidR="009056B3">
        <w:rPr>
          <w:sz w:val="28"/>
        </w:rPr>
        <w:t xml:space="preserve"> бухгалтерского учета для</w:t>
      </w:r>
      <w:proofErr w:type="gramEnd"/>
      <w:r w:rsidR="009056B3">
        <w:rPr>
          <w:sz w:val="28"/>
        </w:rPr>
        <w:t xml:space="preserve"> </w:t>
      </w:r>
      <w:proofErr w:type="gramStart"/>
      <w:r w:rsidR="009056B3">
        <w:rPr>
          <w:sz w:val="28"/>
        </w:rPr>
        <w:t xml:space="preserve">организаций государственного сектора "Долгосрочные договоры", утвержденный Приказом Минфина России от 29.06.2018 №145н, </w:t>
      </w:r>
      <w:r w:rsidR="00094F98">
        <w:rPr>
          <w:sz w:val="28"/>
        </w:rPr>
        <w:t xml:space="preserve">Федеральным стандартом бухгалтерского учета для организаций государственного сектора </w:t>
      </w:r>
      <w:r w:rsidR="009056B3">
        <w:rPr>
          <w:sz w:val="28"/>
        </w:rPr>
        <w:t>"Непроизведенные активы", утвержденный Приказом   Минфина России от 28.02.2018 №34н</w:t>
      </w:r>
      <w:r w:rsidR="00735D82">
        <w:rPr>
          <w:sz w:val="28"/>
        </w:rPr>
        <w:t xml:space="preserve">, </w:t>
      </w:r>
      <w:r w:rsidR="00606EB9">
        <w:rPr>
          <w:sz w:val="28"/>
        </w:rPr>
        <w:t>Федеральным стандартом бухгалтерского учета для организаций государственного сектора "Информация о связанных сторонах", утвержденный Приказом   Минфина России от 30.12.2017 №277н, Федеральным стандартом бухгалтерского учета для организаций государственного сектора "Нематериальные активы", утвержденный Приказом</w:t>
      </w:r>
      <w:proofErr w:type="gramEnd"/>
      <w:r w:rsidR="00606EB9">
        <w:rPr>
          <w:sz w:val="28"/>
        </w:rPr>
        <w:t xml:space="preserve"> </w:t>
      </w:r>
      <w:proofErr w:type="gramStart"/>
      <w:r w:rsidR="00606EB9">
        <w:rPr>
          <w:sz w:val="28"/>
        </w:rPr>
        <w:t xml:space="preserve">Минфина России от </w:t>
      </w:r>
      <w:r w:rsidR="00C61DEB">
        <w:rPr>
          <w:sz w:val="28"/>
        </w:rPr>
        <w:t>15</w:t>
      </w:r>
      <w:r w:rsidR="00606EB9">
        <w:rPr>
          <w:sz w:val="28"/>
        </w:rPr>
        <w:t>.</w:t>
      </w:r>
      <w:r w:rsidR="00C61DEB">
        <w:rPr>
          <w:sz w:val="28"/>
        </w:rPr>
        <w:t>11</w:t>
      </w:r>
      <w:r w:rsidR="00606EB9">
        <w:rPr>
          <w:sz w:val="28"/>
        </w:rPr>
        <w:t>.20</w:t>
      </w:r>
      <w:r w:rsidR="00C61DEB">
        <w:rPr>
          <w:sz w:val="28"/>
        </w:rPr>
        <w:t xml:space="preserve">19 </w:t>
      </w:r>
      <w:r w:rsidR="00606EB9">
        <w:rPr>
          <w:sz w:val="28"/>
        </w:rPr>
        <w:t xml:space="preserve"> №</w:t>
      </w:r>
      <w:r w:rsidR="00C61DEB">
        <w:rPr>
          <w:sz w:val="28"/>
        </w:rPr>
        <w:t>181</w:t>
      </w:r>
      <w:r w:rsidR="00606EB9">
        <w:rPr>
          <w:sz w:val="28"/>
        </w:rPr>
        <w:t>н</w:t>
      </w:r>
      <w:r w:rsidR="00C61DEB">
        <w:rPr>
          <w:sz w:val="28"/>
        </w:rPr>
        <w:t xml:space="preserve">, </w:t>
      </w:r>
      <w:r w:rsidR="009056B3">
        <w:rPr>
          <w:sz w:val="28"/>
        </w:rPr>
        <w:t xml:space="preserve"> </w:t>
      </w:r>
      <w:r w:rsidR="00C61DEB">
        <w:rPr>
          <w:sz w:val="28"/>
        </w:rPr>
        <w:t xml:space="preserve">Федеральным стандартом бухгалтерского учета для организаций государственного сектора "Затраты по заимствованиям", утвержденный Приказом Минфина России от 15.11.2019  №182н, Федеральным стандартом бухгалтерского учета для организаций государственного сектора "Совместная деятельность", утвержденный Приказом Минфина России от 15.11.2019  №183н, Федеральным стандартом бухгалтерского учета для организаций государственного сектора "Выплаты персоналу", утвержденный Приказом Минфина России от 15.11.2019  №184н, </w:t>
      </w:r>
      <w:r w:rsidRPr="00A16600">
        <w:rPr>
          <w:sz w:val="28"/>
          <w:szCs w:val="28"/>
        </w:rPr>
        <w:t>Приказом  Минфина России</w:t>
      </w:r>
      <w:proofErr w:type="gramEnd"/>
      <w:r w:rsidRPr="00A16600">
        <w:rPr>
          <w:sz w:val="28"/>
          <w:szCs w:val="28"/>
        </w:rPr>
        <w:t xml:space="preserve"> от 28.12.2010 №191н "Об утверждении Инструкции о порядке составления и  представления годовой, квартальной и месячной отчетности об исполнении  бюджетов бюджетной  системы Российской Федерации"  и иными нормативн</w:t>
      </w:r>
      <w:proofErr w:type="gramStart"/>
      <w:r w:rsidRPr="00A16600">
        <w:rPr>
          <w:sz w:val="28"/>
          <w:szCs w:val="28"/>
        </w:rPr>
        <w:t>о-</w:t>
      </w:r>
      <w:proofErr w:type="gramEnd"/>
      <w:r w:rsidRPr="00A16600">
        <w:rPr>
          <w:sz w:val="28"/>
          <w:szCs w:val="28"/>
        </w:rPr>
        <w:t xml:space="preserve"> правовыми актами, регулирующими вопросы бухгалтерского учета.</w:t>
      </w:r>
      <w:r w:rsidR="00C86170">
        <w:rPr>
          <w:sz w:val="28"/>
          <w:szCs w:val="28"/>
        </w:rPr>
        <w:t>"</w:t>
      </w:r>
    </w:p>
    <w:p w:rsidR="00097FE2" w:rsidRDefault="00097FE2" w:rsidP="0050610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097FE2" w:rsidRDefault="00097FE2" w:rsidP="00097FE2">
      <w:pPr>
        <w:rPr>
          <w:sz w:val="28"/>
        </w:rPr>
      </w:pPr>
      <w:r>
        <w:rPr>
          <w:sz w:val="28"/>
        </w:rPr>
        <w:lastRenderedPageBreak/>
        <w:tab/>
      </w:r>
    </w:p>
    <w:p w:rsidR="007C7D4D" w:rsidRPr="00506100" w:rsidRDefault="00BA5E37" w:rsidP="007C7D4D">
      <w:pPr>
        <w:ind w:firstLine="708"/>
        <w:jc w:val="both"/>
        <w:rPr>
          <w:sz w:val="28"/>
          <w:szCs w:val="28"/>
        </w:rPr>
      </w:pPr>
      <w:r w:rsidRPr="00506100">
        <w:rPr>
          <w:sz w:val="28"/>
          <w:szCs w:val="28"/>
        </w:rPr>
        <w:t xml:space="preserve">Пункт 9.1, 9.2  </w:t>
      </w:r>
      <w:r w:rsidR="007C7D4D" w:rsidRPr="00506100">
        <w:rPr>
          <w:sz w:val="28"/>
          <w:szCs w:val="28"/>
        </w:rPr>
        <w:t>Раздел</w:t>
      </w:r>
      <w:r w:rsidRPr="00506100">
        <w:rPr>
          <w:sz w:val="28"/>
          <w:szCs w:val="28"/>
        </w:rPr>
        <w:t>а</w:t>
      </w:r>
      <w:r w:rsidR="007C7D4D" w:rsidRPr="00506100">
        <w:rPr>
          <w:sz w:val="28"/>
          <w:szCs w:val="28"/>
        </w:rPr>
        <w:t xml:space="preserve"> 9 </w:t>
      </w:r>
      <w:r w:rsidR="007C7D4D" w:rsidRPr="00506100">
        <w:rPr>
          <w:b/>
          <w:sz w:val="28"/>
          <w:szCs w:val="28"/>
        </w:rPr>
        <w:t xml:space="preserve"> </w:t>
      </w:r>
      <w:r w:rsidRPr="00506100">
        <w:rPr>
          <w:sz w:val="28"/>
          <w:szCs w:val="28"/>
        </w:rPr>
        <w:t>"</w:t>
      </w:r>
      <w:r w:rsidR="007C7D4D" w:rsidRPr="00506100">
        <w:rPr>
          <w:sz w:val="28"/>
          <w:szCs w:val="28"/>
        </w:rPr>
        <w:t>Резервы и отдельные расходы</w:t>
      </w:r>
      <w:r w:rsidR="0034353B" w:rsidRPr="00506100">
        <w:rPr>
          <w:sz w:val="28"/>
          <w:szCs w:val="28"/>
        </w:rPr>
        <w:t>"  изложить в следующей редакции:</w:t>
      </w:r>
    </w:p>
    <w:p w:rsidR="007C7D4D" w:rsidRPr="00506100" w:rsidRDefault="007C7D4D" w:rsidP="007C7D4D">
      <w:pPr>
        <w:ind w:firstLine="708"/>
        <w:jc w:val="both"/>
        <w:rPr>
          <w:sz w:val="28"/>
          <w:szCs w:val="28"/>
        </w:rPr>
      </w:pPr>
      <w:r w:rsidRPr="00506100">
        <w:rPr>
          <w:sz w:val="28"/>
          <w:szCs w:val="28"/>
        </w:rPr>
        <w:t>9.</w:t>
      </w:r>
      <w:r w:rsidRPr="00506100">
        <w:rPr>
          <w:color w:val="000000"/>
          <w:sz w:val="28"/>
          <w:szCs w:val="28"/>
        </w:rPr>
        <w:t xml:space="preserve"> Резервы, создаваемые учреждением, учитываются на счетах 0 40160 000.                            </w:t>
      </w:r>
    </w:p>
    <w:p w:rsidR="007C7D4D" w:rsidRPr="00506100" w:rsidRDefault="007C7D4D" w:rsidP="007C7D4D">
      <w:pPr>
        <w:ind w:firstLine="708"/>
        <w:jc w:val="both"/>
        <w:rPr>
          <w:sz w:val="28"/>
          <w:szCs w:val="28"/>
        </w:rPr>
      </w:pPr>
      <w:r w:rsidRPr="00506100">
        <w:rPr>
          <w:sz w:val="28"/>
          <w:szCs w:val="28"/>
        </w:rPr>
        <w:t>9.1.В целях равномерного включения расходов на финансовый результат учреждение создает резервы предстоящих расходов: на предстоящую оплату отпусков, включая страховые взносы.</w:t>
      </w:r>
    </w:p>
    <w:p w:rsidR="007C7D4D" w:rsidRPr="00506100" w:rsidRDefault="007C7D4D" w:rsidP="007C7D4D">
      <w:pPr>
        <w:ind w:firstLine="708"/>
        <w:jc w:val="both"/>
        <w:rPr>
          <w:sz w:val="28"/>
          <w:szCs w:val="28"/>
        </w:rPr>
      </w:pPr>
      <w:r w:rsidRPr="00506100">
        <w:rPr>
          <w:sz w:val="28"/>
          <w:szCs w:val="28"/>
        </w:rPr>
        <w:t xml:space="preserve">Резерв </w:t>
      </w:r>
      <w:r w:rsidR="0034353B" w:rsidRPr="00506100">
        <w:rPr>
          <w:sz w:val="28"/>
          <w:szCs w:val="28"/>
        </w:rPr>
        <w:t xml:space="preserve">предстоящих расходов по выплатам персоналу </w:t>
      </w:r>
      <w:r w:rsidRPr="00506100">
        <w:rPr>
          <w:sz w:val="28"/>
          <w:szCs w:val="28"/>
        </w:rPr>
        <w:t xml:space="preserve">формируется на основании методики №2 (расчет производится по учреждению в целом)  на последний день года, исходя из данных предоставленных кадровой службой, о количестве дней  неиспользованного отпуска.  </w:t>
      </w:r>
    </w:p>
    <w:p w:rsidR="007C7D4D" w:rsidRPr="00506100" w:rsidRDefault="007C7D4D" w:rsidP="007C7D4D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506100">
        <w:rPr>
          <w:sz w:val="28"/>
          <w:szCs w:val="28"/>
        </w:rPr>
        <w:t xml:space="preserve">   9.2. Отдельные расходы.</w:t>
      </w:r>
    </w:p>
    <w:p w:rsidR="007C7D4D" w:rsidRPr="00506100" w:rsidRDefault="007C7D4D" w:rsidP="007C7D4D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506100">
        <w:rPr>
          <w:sz w:val="28"/>
          <w:szCs w:val="28"/>
        </w:rPr>
        <w:t>В состав расходов будущих периодов, учитываемых на счете 0 40150 000, включается:</w:t>
      </w:r>
    </w:p>
    <w:p w:rsidR="00F80DCF" w:rsidRPr="00506100" w:rsidRDefault="007C7D4D" w:rsidP="007C7D4D">
      <w:pPr>
        <w:ind w:left="180"/>
        <w:jc w:val="both"/>
        <w:rPr>
          <w:sz w:val="28"/>
          <w:szCs w:val="28"/>
        </w:rPr>
      </w:pPr>
      <w:r w:rsidRPr="00506100">
        <w:rPr>
          <w:sz w:val="28"/>
          <w:szCs w:val="28"/>
        </w:rPr>
        <w:t xml:space="preserve">- </w:t>
      </w:r>
      <w:r w:rsidR="00E14716" w:rsidRPr="00506100">
        <w:rPr>
          <w:sz w:val="28"/>
          <w:szCs w:val="28"/>
        </w:rPr>
        <w:t>затраты на приобретение прав пользования на результаты интеллектуальной деятельности, срок полезного использования которых составляет не более 12 месяцев, но переходит за пределы года их приобретения</w:t>
      </w:r>
      <w:proofErr w:type="gramStart"/>
      <w:r w:rsidR="00E14716" w:rsidRPr="00506100">
        <w:rPr>
          <w:sz w:val="28"/>
          <w:szCs w:val="28"/>
        </w:rPr>
        <w:t>.</w:t>
      </w:r>
      <w:proofErr w:type="gramEnd"/>
      <w:r w:rsidR="00F80DCF" w:rsidRPr="00506100">
        <w:rPr>
          <w:sz w:val="28"/>
          <w:szCs w:val="28"/>
        </w:rPr>
        <w:t xml:space="preserve"> (</w:t>
      </w:r>
      <w:proofErr w:type="gramStart"/>
      <w:r w:rsidR="00F80DCF" w:rsidRPr="00506100">
        <w:rPr>
          <w:sz w:val="28"/>
          <w:szCs w:val="28"/>
        </w:rPr>
        <w:t>з</w:t>
      </w:r>
      <w:proofErr w:type="gramEnd"/>
      <w:r w:rsidR="00F80DCF" w:rsidRPr="00506100">
        <w:rPr>
          <w:sz w:val="28"/>
          <w:szCs w:val="28"/>
        </w:rPr>
        <w:t>а</w:t>
      </w:r>
      <w:r w:rsidRPr="00506100">
        <w:rPr>
          <w:sz w:val="28"/>
          <w:szCs w:val="28"/>
        </w:rPr>
        <w:t>траты на использование компьютерного программного обеспечения</w:t>
      </w:r>
      <w:r w:rsidR="00F80DCF" w:rsidRPr="00506100">
        <w:rPr>
          <w:sz w:val="28"/>
          <w:szCs w:val="28"/>
        </w:rPr>
        <w:t>)</w:t>
      </w:r>
      <w:r w:rsidRPr="00506100">
        <w:rPr>
          <w:sz w:val="28"/>
          <w:szCs w:val="28"/>
        </w:rPr>
        <w:t xml:space="preserve">  </w:t>
      </w:r>
    </w:p>
    <w:p w:rsidR="007C7D4D" w:rsidRPr="00F7015B" w:rsidRDefault="007C7D4D" w:rsidP="00F80DCF">
      <w:pPr>
        <w:ind w:left="180" w:firstLine="528"/>
        <w:jc w:val="both"/>
        <w:rPr>
          <w:sz w:val="28"/>
          <w:szCs w:val="28"/>
        </w:rPr>
      </w:pPr>
      <w:r w:rsidRPr="00F7015B">
        <w:rPr>
          <w:sz w:val="28"/>
          <w:szCs w:val="28"/>
        </w:rPr>
        <w:t xml:space="preserve">Одновременно право  на использование программы отражается на счете 01 "Имущество, полученное в пользование" с использованием субсчета 01.32. По окончании  срока действия лицензионного договора производится списание стоимости с </w:t>
      </w:r>
      <w:proofErr w:type="spellStart"/>
      <w:r w:rsidRPr="00F7015B">
        <w:rPr>
          <w:sz w:val="28"/>
          <w:szCs w:val="28"/>
        </w:rPr>
        <w:t>забалансового</w:t>
      </w:r>
      <w:proofErr w:type="spellEnd"/>
      <w:r w:rsidRPr="00F7015B">
        <w:rPr>
          <w:sz w:val="28"/>
          <w:szCs w:val="28"/>
        </w:rPr>
        <w:t xml:space="preserve"> счета. </w:t>
      </w:r>
    </w:p>
    <w:p w:rsidR="00533B40" w:rsidRPr="00506100" w:rsidRDefault="00533B40" w:rsidP="00F80DCF">
      <w:pPr>
        <w:ind w:left="180" w:firstLine="528"/>
        <w:jc w:val="both"/>
        <w:rPr>
          <w:color w:val="FF0000"/>
          <w:sz w:val="28"/>
          <w:szCs w:val="28"/>
        </w:rPr>
      </w:pPr>
    </w:p>
    <w:p w:rsidR="00627138" w:rsidRPr="00506100" w:rsidRDefault="00533B40" w:rsidP="00F80DCF">
      <w:pPr>
        <w:ind w:left="180" w:firstLine="528"/>
        <w:jc w:val="both"/>
        <w:rPr>
          <w:sz w:val="28"/>
          <w:szCs w:val="28"/>
        </w:rPr>
      </w:pPr>
      <w:r w:rsidRPr="00506100">
        <w:rPr>
          <w:b/>
          <w:color w:val="FF0000"/>
          <w:sz w:val="28"/>
          <w:szCs w:val="28"/>
        </w:rPr>
        <w:t xml:space="preserve"> </w:t>
      </w:r>
      <w:r w:rsidRPr="00506100">
        <w:rPr>
          <w:sz w:val="28"/>
          <w:szCs w:val="28"/>
        </w:rPr>
        <w:t>Приложение 1 "Рабочий план счетов" дополнить: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1059"/>
        <w:gridCol w:w="851"/>
        <w:gridCol w:w="142"/>
        <w:gridCol w:w="283"/>
        <w:gridCol w:w="425"/>
        <w:gridCol w:w="217"/>
        <w:gridCol w:w="209"/>
        <w:gridCol w:w="425"/>
        <w:gridCol w:w="425"/>
        <w:gridCol w:w="1634"/>
      </w:tblGrid>
      <w:tr w:rsidR="00533B40" w:rsidRPr="00506100" w:rsidTr="00496219">
        <w:tc>
          <w:tcPr>
            <w:tcW w:w="3539" w:type="dxa"/>
            <w:vMerge w:val="restart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Наименование счета</w:t>
            </w:r>
          </w:p>
        </w:tc>
        <w:tc>
          <w:tcPr>
            <w:tcW w:w="5670" w:type="dxa"/>
            <w:gridSpan w:val="10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Номер счета</w:t>
            </w:r>
          </w:p>
        </w:tc>
      </w:tr>
      <w:tr w:rsidR="00533B40" w:rsidRPr="00506100" w:rsidTr="00496219">
        <w:tc>
          <w:tcPr>
            <w:tcW w:w="3539" w:type="dxa"/>
            <w:vMerge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10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код</w:t>
            </w:r>
          </w:p>
        </w:tc>
      </w:tr>
      <w:tr w:rsidR="00533B40" w:rsidRPr="00506100" w:rsidTr="00D53391">
        <w:tc>
          <w:tcPr>
            <w:tcW w:w="3539" w:type="dxa"/>
            <w:vMerge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аналитический классификационный</w:t>
            </w:r>
          </w:p>
        </w:tc>
        <w:tc>
          <w:tcPr>
            <w:tcW w:w="993" w:type="dxa"/>
            <w:gridSpan w:val="2"/>
            <w:vMerge w:val="restart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вида фин. Обеспечения (деятельности)</w:t>
            </w:r>
          </w:p>
        </w:tc>
        <w:tc>
          <w:tcPr>
            <w:tcW w:w="925" w:type="dxa"/>
            <w:gridSpan w:val="3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синтетического счета</w:t>
            </w:r>
          </w:p>
        </w:tc>
        <w:tc>
          <w:tcPr>
            <w:tcW w:w="2693" w:type="dxa"/>
            <w:gridSpan w:val="4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 xml:space="preserve">аналитический по </w:t>
            </w:r>
            <w:proofErr w:type="spellStart"/>
            <w:r w:rsidRPr="00506100">
              <w:rPr>
                <w:sz w:val="28"/>
                <w:szCs w:val="28"/>
              </w:rPr>
              <w:t>КОСГУ</w:t>
            </w:r>
            <w:proofErr w:type="spellEnd"/>
          </w:p>
        </w:tc>
      </w:tr>
      <w:tr w:rsidR="00533B40" w:rsidRPr="00506100" w:rsidTr="00D53391">
        <w:tc>
          <w:tcPr>
            <w:tcW w:w="3539" w:type="dxa"/>
            <w:vMerge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  <w:vMerge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925" w:type="dxa"/>
            <w:gridSpan w:val="3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объекта учета</w:t>
            </w:r>
          </w:p>
        </w:tc>
        <w:tc>
          <w:tcPr>
            <w:tcW w:w="634" w:type="dxa"/>
            <w:gridSpan w:val="2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группы</w:t>
            </w:r>
          </w:p>
        </w:tc>
        <w:tc>
          <w:tcPr>
            <w:tcW w:w="425" w:type="dxa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вида</w:t>
            </w:r>
          </w:p>
        </w:tc>
        <w:tc>
          <w:tcPr>
            <w:tcW w:w="1634" w:type="dxa"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  <w:proofErr w:type="gramStart"/>
            <w:r w:rsidRPr="00506100">
              <w:rPr>
                <w:sz w:val="28"/>
                <w:szCs w:val="28"/>
              </w:rPr>
              <w:t>аналитический</w:t>
            </w:r>
            <w:proofErr w:type="gramEnd"/>
            <w:r w:rsidRPr="00506100">
              <w:rPr>
                <w:sz w:val="28"/>
                <w:szCs w:val="28"/>
              </w:rPr>
              <w:t xml:space="preserve"> вида поступлений, выбытий</w:t>
            </w:r>
          </w:p>
        </w:tc>
      </w:tr>
      <w:tr w:rsidR="00533B40" w:rsidRPr="00506100" w:rsidTr="00496219">
        <w:trPr>
          <w:trHeight w:val="551"/>
        </w:trPr>
        <w:tc>
          <w:tcPr>
            <w:tcW w:w="3539" w:type="dxa"/>
            <w:vMerge/>
          </w:tcPr>
          <w:p w:rsidR="00533B40" w:rsidRPr="00506100" w:rsidRDefault="00533B40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10"/>
          </w:tcPr>
          <w:p w:rsidR="00533B40" w:rsidRPr="00506100" w:rsidRDefault="00533B40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номер разряда счета</w:t>
            </w:r>
          </w:p>
        </w:tc>
      </w:tr>
      <w:tr w:rsidR="00D53391" w:rsidRPr="00506100" w:rsidTr="00D53391">
        <w:tc>
          <w:tcPr>
            <w:tcW w:w="3539" w:type="dxa"/>
            <w:vMerge/>
          </w:tcPr>
          <w:p w:rsidR="00D53391" w:rsidRPr="00506100" w:rsidRDefault="00D53391" w:rsidP="00496219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1 - 17</w:t>
            </w:r>
          </w:p>
        </w:tc>
        <w:tc>
          <w:tcPr>
            <w:tcW w:w="851" w:type="dxa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18</w:t>
            </w:r>
          </w:p>
        </w:tc>
        <w:tc>
          <w:tcPr>
            <w:tcW w:w="425" w:type="dxa"/>
            <w:gridSpan w:val="2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gridSpan w:val="2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21</w:t>
            </w:r>
          </w:p>
        </w:tc>
        <w:tc>
          <w:tcPr>
            <w:tcW w:w="425" w:type="dxa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23</w:t>
            </w:r>
          </w:p>
        </w:tc>
        <w:tc>
          <w:tcPr>
            <w:tcW w:w="1634" w:type="dxa"/>
          </w:tcPr>
          <w:p w:rsidR="00D53391" w:rsidRPr="00506100" w:rsidRDefault="00D53391" w:rsidP="00D5339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24-26</w:t>
            </w:r>
          </w:p>
        </w:tc>
      </w:tr>
      <w:tr w:rsidR="00D53391" w:rsidRPr="00506100" w:rsidTr="004A68EA">
        <w:tblPrEx>
          <w:tblBorders>
            <w:insideH w:val="nil"/>
          </w:tblBorders>
        </w:tblPrEx>
        <w:trPr>
          <w:trHeight w:val="461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1" w:name="P78"/>
            <w:bookmarkEnd w:id="1"/>
            <w:r w:rsidRPr="00506100">
              <w:rPr>
                <w:sz w:val="28"/>
                <w:szCs w:val="28"/>
              </w:rPr>
              <w:lastRenderedPageBreak/>
              <w:t>Вложения в права пользования программным обеспечением и базами данных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I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53391" w:rsidRPr="00506100" w:rsidTr="002E0B0F">
        <w:tblPrEx>
          <w:tblBorders>
            <w:insideH w:val="nil"/>
          </w:tblBorders>
        </w:tblPrEx>
        <w:trPr>
          <w:trHeight w:val="356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Права пользования программным обеспечением и базами данных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I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D53391" w:rsidRPr="00506100" w:rsidTr="00C12447">
        <w:tblPrEx>
          <w:tblBorders>
            <w:insideH w:val="nil"/>
          </w:tblBorders>
        </w:tblPrEx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I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06100">
              <w:rPr>
                <w:sz w:val="28"/>
                <w:szCs w:val="28"/>
              </w:rPr>
              <w:t>0</w:t>
            </w:r>
          </w:p>
          <w:p w:rsidR="00D53391" w:rsidRPr="00506100" w:rsidRDefault="00D53391" w:rsidP="0049621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533B40" w:rsidRPr="00506100" w:rsidRDefault="00533B40" w:rsidP="00533B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3B40" w:rsidRPr="00506100" w:rsidRDefault="00533B40" w:rsidP="00533B40">
      <w:pPr>
        <w:rPr>
          <w:sz w:val="28"/>
          <w:szCs w:val="28"/>
        </w:rPr>
      </w:pPr>
    </w:p>
    <w:p w:rsidR="00506100" w:rsidRDefault="00506100" w:rsidP="0050610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2. Ответственность за исполнение настоящего приказа возложить на заместителя начальника управления - начальника отдела экономики и  финансов Лузину Татьяну Юрьевну.</w:t>
      </w:r>
    </w:p>
    <w:p w:rsidR="00506100" w:rsidRDefault="00506100" w:rsidP="00506100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3. Настоящий приказ вступает в силу со дня его подписания.</w:t>
      </w:r>
    </w:p>
    <w:p w:rsidR="00506100" w:rsidRDefault="00506100" w:rsidP="00506100">
      <w:pPr>
        <w:jc w:val="both"/>
        <w:rPr>
          <w:sz w:val="28"/>
        </w:rPr>
      </w:pPr>
    </w:p>
    <w:p w:rsidR="00506100" w:rsidRDefault="00506100" w:rsidP="00506100">
      <w:pPr>
        <w:jc w:val="both"/>
        <w:rPr>
          <w:sz w:val="28"/>
        </w:rPr>
      </w:pPr>
    </w:p>
    <w:p w:rsidR="00506100" w:rsidRDefault="00506100" w:rsidP="00506100">
      <w:pPr>
        <w:jc w:val="both"/>
        <w:rPr>
          <w:sz w:val="28"/>
        </w:rPr>
      </w:pPr>
      <w:r>
        <w:rPr>
          <w:sz w:val="28"/>
        </w:rPr>
        <w:t>Начальник 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  <w:t xml:space="preserve">                    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И.А.Мазаева</w:t>
      </w:r>
      <w:proofErr w:type="spellEnd"/>
    </w:p>
    <w:p w:rsidR="00506100" w:rsidRDefault="00506100" w:rsidP="00506100">
      <w:pPr>
        <w:rPr>
          <w:sz w:val="28"/>
        </w:rPr>
      </w:pPr>
    </w:p>
    <w:p w:rsidR="00533B40" w:rsidRPr="00506100" w:rsidRDefault="00533B40" w:rsidP="00F80DCF">
      <w:pPr>
        <w:ind w:left="180" w:firstLine="528"/>
        <w:jc w:val="both"/>
        <w:rPr>
          <w:sz w:val="28"/>
          <w:szCs w:val="28"/>
        </w:rPr>
      </w:pPr>
    </w:p>
    <w:sectPr w:rsidR="00533B40" w:rsidRPr="0050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28"/>
    <w:rsid w:val="00007713"/>
    <w:rsid w:val="00094F98"/>
    <w:rsid w:val="00097FE2"/>
    <w:rsid w:val="000A5833"/>
    <w:rsid w:val="00244E95"/>
    <w:rsid w:val="00256F9C"/>
    <w:rsid w:val="0034353B"/>
    <w:rsid w:val="00442A18"/>
    <w:rsid w:val="004F1938"/>
    <w:rsid w:val="00506100"/>
    <w:rsid w:val="00533B40"/>
    <w:rsid w:val="00550057"/>
    <w:rsid w:val="0057676C"/>
    <w:rsid w:val="005B1CEC"/>
    <w:rsid w:val="005D0DA7"/>
    <w:rsid w:val="00606EB9"/>
    <w:rsid w:val="0061497D"/>
    <w:rsid w:val="00623A28"/>
    <w:rsid w:val="00627138"/>
    <w:rsid w:val="00735D82"/>
    <w:rsid w:val="007C7D4D"/>
    <w:rsid w:val="00897972"/>
    <w:rsid w:val="009056B3"/>
    <w:rsid w:val="00A16600"/>
    <w:rsid w:val="00A74AC3"/>
    <w:rsid w:val="00BA5E37"/>
    <w:rsid w:val="00BA7B66"/>
    <w:rsid w:val="00C161FA"/>
    <w:rsid w:val="00C61DEB"/>
    <w:rsid w:val="00C64CAB"/>
    <w:rsid w:val="00C86170"/>
    <w:rsid w:val="00CA5F72"/>
    <w:rsid w:val="00D53391"/>
    <w:rsid w:val="00E14716"/>
    <w:rsid w:val="00ED40EB"/>
    <w:rsid w:val="00F503B2"/>
    <w:rsid w:val="00F7015B"/>
    <w:rsid w:val="00F80DCF"/>
    <w:rsid w:val="00FA455C"/>
    <w:rsid w:val="00FC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F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19</cp:revision>
  <cp:lastPrinted>2021-04-15T15:21:00Z</cp:lastPrinted>
  <dcterms:created xsi:type="dcterms:W3CDTF">2021-02-10T13:40:00Z</dcterms:created>
  <dcterms:modified xsi:type="dcterms:W3CDTF">2021-04-16T12:45:00Z</dcterms:modified>
</cp:coreProperties>
</file>